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B596C8" w14:textId="3CE5B42A" w:rsidR="00A51EA5" w:rsidRDefault="00000000">
      <w:pPr>
        <w:rPr>
          <w:b/>
          <w:bCs/>
        </w:rPr>
      </w:pPr>
      <w:r>
        <w:rPr>
          <w:b/>
          <w:bCs/>
        </w:rPr>
        <w:t>From Crisis to Polarization: A Longitudinal Analysis of Student Learning Preferences in Southern Europe (2022-2025)</w:t>
      </w:r>
    </w:p>
    <w:p w14:paraId="056654B2" w14:textId="77777777" w:rsidR="00A51EA5" w:rsidRDefault="00000000">
      <w:r>
        <w:t xml:space="preserve">By D. </w:t>
      </w:r>
      <w:proofErr w:type="spellStart"/>
      <w:r>
        <w:t>Pantazatos</w:t>
      </w:r>
      <w:proofErr w:type="spellEnd"/>
      <w:r>
        <w:t>, A. Hernando, R. Teles, M. Montanari</w:t>
      </w:r>
    </w:p>
    <w:p w14:paraId="1E7DFA6F" w14:textId="77777777" w:rsidR="00F2724A" w:rsidRDefault="00F2724A"/>
    <w:p w14:paraId="45BFAD77" w14:textId="77777777" w:rsidR="00A51EA5" w:rsidRDefault="00000000">
      <w:pPr>
        <w:rPr>
          <w:b/>
          <w:bCs/>
        </w:rPr>
      </w:pPr>
      <w:r>
        <w:rPr>
          <w:b/>
          <w:bCs/>
        </w:rPr>
        <w:t>1. Introduction</w:t>
      </w:r>
    </w:p>
    <w:p w14:paraId="656E916F" w14:textId="77777777" w:rsidR="00A51EA5" w:rsidRDefault="00000000">
      <w:r>
        <w:t xml:space="preserve">The digitalization of Higher Education is often narrated through a "Provider-Centric" lens. In the initial phases of the SOULSS project, the research focus was placed on faculty anxieties. As documented in </w:t>
      </w:r>
      <w:r>
        <w:rPr>
          <w:i/>
          <w:iCs/>
        </w:rPr>
        <w:t>The Hidden Costs</w:t>
      </w:r>
      <w:r>
        <w:t xml:space="preserve"> (Di </w:t>
      </w:r>
      <w:proofErr w:type="spellStart"/>
      <w:r>
        <w:t>Flumeri</w:t>
      </w:r>
      <w:proofErr w:type="spellEnd"/>
      <w:r>
        <w:t xml:space="preserve"> &amp; Santos, 2025), the narrative was dominated by "Financial Burdens" and the fear of academic dishonesty. However, this focus creates a "Policy Blind Spot." By shaping strategies based solely on faculty fears, universities risk ignoring the "Receiver" perspective. This policy blind spot is exacerbated by a critical data asymmetry: while the 'Provider' trauma has been meticulously mapped (N=283), the contemporary 'Receiver' perspective remains largely anecdotal and quantitatively unverified in the post-emergency landscape. Literature strictly distinguishes between </w:t>
      </w:r>
      <w:r>
        <w:rPr>
          <w:i/>
          <w:iCs/>
        </w:rPr>
        <w:t>Emergency Remote Teaching</w:t>
      </w:r>
      <w:r>
        <w:t xml:space="preserve"> (ERT) and designed </w:t>
      </w:r>
      <w:r>
        <w:rPr>
          <w:i/>
          <w:iCs/>
        </w:rPr>
        <w:t>Online Learning</w:t>
      </w:r>
      <w:r>
        <w:t xml:space="preserve"> (Hodges et al., 2020). While the historical faculty data (N=283) reflects the trauma of the ERT phase, the student reality has evolved. We hypothesize that while professors are still debating "Tools vs. Skills" (Perone &amp; Ronca, 2025), students have moved past the emergency and are now demanding a refinement of the pedagogical model, specifically concerning the tension between synchronous and asynchronous delivery (</w:t>
      </w:r>
      <w:proofErr w:type="spellStart"/>
      <w:r>
        <w:t>Hrastinski</w:t>
      </w:r>
      <w:proofErr w:type="spellEnd"/>
      <w:r>
        <w:t>, 2008).</w:t>
      </w:r>
    </w:p>
    <w:p w14:paraId="5DCE3C0B" w14:textId="77777777" w:rsidR="00A51EA5" w:rsidRDefault="00000000">
      <w:r>
        <w:t>The research question driving this study is longitudinal: How have student priorities shifted from the crisis of 2022 to the normalization of 2025?</w:t>
      </w:r>
    </w:p>
    <w:p w14:paraId="4BE26157" w14:textId="77777777" w:rsidR="00A51EA5" w:rsidRDefault="00000000">
      <w:pPr>
        <w:rPr>
          <w:b/>
          <w:bCs/>
        </w:rPr>
      </w:pPr>
      <w:r>
        <w:rPr>
          <w:b/>
          <w:bCs/>
        </w:rPr>
        <w:t>2. Methodology</w:t>
      </w:r>
    </w:p>
    <w:p w14:paraId="46BD1D4C" w14:textId="77777777" w:rsidR="00A51EA5" w:rsidRDefault="00000000">
      <w:r>
        <w:t>The analysis relies on the triangulation of two distinct datasets, representing two different temporal moments and collected with comparable instruments. Although the study adopts a longitudinal perspective, it is important to clarify that the two datasets consist of independent cross-sectional cohorts, rather than a repeated-measures panel. This design allows for the identification of temporal shifts in aggregate trends but does not permit individual-level change analysis. </w:t>
      </w:r>
    </w:p>
    <w:p w14:paraId="6019CC84" w14:textId="77777777" w:rsidR="00A51EA5" w:rsidRDefault="00000000">
      <w:r>
        <w:t>Although the two samples differ in geographic composition, the constructs measured are identical, and the purpose of the comparison is to track directional shifts, not to generalize equivalence between populations.</w:t>
      </w:r>
    </w:p>
    <w:p w14:paraId="58C7D0F9" w14:textId="77777777" w:rsidR="00A51EA5" w:rsidRDefault="00000000">
      <w:r>
        <w:rPr>
          <w:i/>
          <w:iCs/>
        </w:rPr>
        <w:t>Dataset A: The Historical Baseline (2022/23).</w:t>
      </w:r>
    </w:p>
    <w:p w14:paraId="04A8C551" w14:textId="77777777" w:rsidR="00A51EA5" w:rsidRDefault="00000000">
      <w:r>
        <w:t xml:space="preserve">Derived from the SOULSS Survey 1 Analysis, this dataset (N=70 mixed European students) serves as the </w:t>
      </w:r>
      <w:r>
        <w:rPr>
          <w:i/>
          <w:iCs/>
        </w:rPr>
        <w:t>Crisis Benchmark</w:t>
      </w:r>
      <w:r>
        <w:t>. It captures student perceptions during the Emergency Remote Teaching (ERT) phase and represents a heterogeneous pan-European group. While the dataset is not probabilistic, it provides a robust descriptive snapshot of ERT-related distress and assessment anxiety.</w:t>
      </w:r>
    </w:p>
    <w:p w14:paraId="59A65445" w14:textId="77777777" w:rsidR="00A51EA5" w:rsidRDefault="00000000">
      <w:r>
        <w:rPr>
          <w:i/>
          <w:iCs/>
        </w:rPr>
        <w:t>Dataset B: The Follow-up Cohort (2025).</w:t>
      </w:r>
    </w:p>
    <w:p w14:paraId="5CFBBC79" w14:textId="77777777" w:rsidR="00A51EA5" w:rsidRDefault="00000000">
      <w:r>
        <w:lastRenderedPageBreak/>
        <w:t>Data was collected via a structured micro-survey administered in November–December 2025. The sampling method was non-probabilistic and convenience-based, targeting university students within the SOULSS partner networks.</w:t>
      </w:r>
      <w:r>
        <w:br/>
        <w:t xml:space="preserve"> Sample Size: N=70 valid responses.</w:t>
      </w:r>
      <w:r>
        <w:br/>
        <w:t xml:space="preserve"> Geographic Distribution: The sample is heavily clustered in the Central-Eastern Mediterranean, with Italy (n=35) and Greece (n=29) constituting 91.4% of the total dataset. This specific geographic concentration enables a </w:t>
      </w:r>
      <w:r>
        <w:rPr>
          <w:i/>
          <w:iCs/>
        </w:rPr>
        <w:t>National Deep Dive</w:t>
      </w:r>
      <w:r>
        <w:t xml:space="preserve"> that contrasts with the broader, more heterogeneous 2022 baseline.</w:t>
      </w:r>
    </w:p>
    <w:p w14:paraId="407A4CE4" w14:textId="77777777" w:rsidR="00A51EA5" w:rsidRDefault="00000000">
      <w:r>
        <w:t>To enhance internal comparability across years, the 2025 survey replicated key constructs from the 2022 instrument (e.g., assessment sentiment and delivery preferences). However, due to context evolution and changes in student priorities, the 2025 version intentionally adopted a more focused structure.</w:t>
      </w:r>
    </w:p>
    <w:p w14:paraId="2EE4A5FD" w14:textId="77777777" w:rsidR="00A51EA5" w:rsidRDefault="00000000">
      <w:r>
        <w:t>2.2 Instruments and Metrics</w:t>
      </w:r>
    </w:p>
    <w:p w14:paraId="14C0A89D" w14:textId="77777777" w:rsidR="00A51EA5" w:rsidRDefault="00000000">
      <w:r>
        <w:t>The 2025 instrument focused on two key quantitative indicators to evaluate the research hypothesis:</w:t>
      </w:r>
    </w:p>
    <w:p w14:paraId="3E115060" w14:textId="77777777" w:rsidR="00A51EA5" w:rsidRDefault="00000000">
      <w:pPr>
        <w:numPr>
          <w:ilvl w:val="0"/>
          <w:numId w:val="3"/>
        </w:numPr>
      </w:pPr>
      <w:r>
        <w:t>The Satisfaction Index (Metric of Acceptance).</w:t>
      </w:r>
    </w:p>
    <w:p w14:paraId="39453556" w14:textId="77777777" w:rsidR="00A51EA5" w:rsidRDefault="00000000">
      <w:r>
        <w:t>A 5-point Likert scale question (“How satisfied are you with online exams?”) designed to measure the normalization of assessment practices compared to the 88.5% dissatisfaction rate of 2022. The metric does not assume interval-level measurement but is used descriptively to capture central tendency and overall sentiment direction. The mean is reported as a descriptive summary, alongside distributional percentages (e.g., satisfied vs not satisfied).</w:t>
      </w:r>
    </w:p>
    <w:p w14:paraId="2F1C0281" w14:textId="77777777" w:rsidR="00A51EA5" w:rsidRDefault="00000000">
      <w:pPr>
        <w:numPr>
          <w:ilvl w:val="0"/>
          <w:numId w:val="4"/>
        </w:numPr>
      </w:pPr>
      <w:r>
        <w:t>The Prioritization Forced-Choice (Metric of Pedagogy).</w:t>
      </w:r>
    </w:p>
    <w:p w14:paraId="6098D5AB" w14:textId="77777777" w:rsidR="00A51EA5" w:rsidRDefault="00000000">
      <w:r>
        <w:t>A single-choice item (“What one thing would most improve your experience?”) designed to identify the dominant learning archetype. Options included: Interactive Live Lessons (Synchronous), Pre-recorded Lessons (Asynchronous), Fairer Exams (Assessment), and Support (Pastoral).</w:t>
      </w:r>
      <w:r>
        <w:br/>
        <w:t xml:space="preserve"> The forced-choice structure intentionally eliminates the possibility of “multi-preference inflation,” making it possible to detect emergent segmentation.</w:t>
      </w:r>
    </w:p>
    <w:p w14:paraId="6249F3E9" w14:textId="77777777" w:rsidR="00A51EA5" w:rsidRDefault="00000000">
      <w:r>
        <w:t>Notes on Data Treatment and Analysis.</w:t>
      </w:r>
    </w:p>
    <w:p w14:paraId="4A1F15F9" w14:textId="77777777" w:rsidR="00A51EA5" w:rsidRDefault="00000000">
      <w:r>
        <w:t>Given the exploratory nature of the study and the small sample size, the analysis relies primarily on descriptive statistics (frequencies, means, and percentage distributions). Inferential statistics were deliberately not applied due to the non-probabilistic sampling framework and the absence of assumptions regarding population representativeness. This approach aligns with best practices for pilot descriptive longitudinal contrasts.</w:t>
      </w:r>
    </w:p>
    <w:p w14:paraId="259AD39D" w14:textId="77777777" w:rsidR="00A51EA5" w:rsidRDefault="00000000">
      <w:r>
        <w:t>2.3 Limitations of the Study</w:t>
      </w:r>
    </w:p>
    <w:p w14:paraId="3FB505ED" w14:textId="77777777" w:rsidR="00A51EA5" w:rsidRDefault="00000000">
      <w:r>
        <w:t>While the findings provide significant strategic insights, the study acknowledges specific limitations.</w:t>
      </w:r>
    </w:p>
    <w:p w14:paraId="1EB13169" w14:textId="77777777" w:rsidR="00A51EA5" w:rsidRDefault="00000000">
      <w:pPr>
        <w:numPr>
          <w:ilvl w:val="0"/>
          <w:numId w:val="1"/>
        </w:numPr>
      </w:pPr>
      <w:r>
        <w:lastRenderedPageBreak/>
        <w:t>Sample Size (N=70). As a pilot descriptive analysis, the sample size is sufficient for identifying trends but insufficient for broad inferential statistics or generalization to the entire European student population.</w:t>
      </w:r>
    </w:p>
    <w:p w14:paraId="0EC15A98" w14:textId="77777777" w:rsidR="00A51EA5" w:rsidRDefault="00000000">
      <w:pPr>
        <w:numPr>
          <w:ilvl w:val="0"/>
          <w:numId w:val="1"/>
        </w:numPr>
      </w:pPr>
      <w:r>
        <w:t>Geographic Bias. The strong over-representation of Italian and Greek students means these findings specifically reflect the Southern-Eastern European context. They should not be conflated with the Iberian context (Spain/Portugal), which dominated the faculty survey.</w:t>
      </w:r>
    </w:p>
    <w:p w14:paraId="2ABD3DB4" w14:textId="77777777" w:rsidR="00A51EA5" w:rsidRDefault="00000000">
      <w:pPr>
        <w:numPr>
          <w:ilvl w:val="0"/>
          <w:numId w:val="1"/>
        </w:numPr>
      </w:pPr>
      <w:r>
        <w:t>Self-Selection Bias. As a voluntary online survey, respondents may represent the portion of the student body that is more digitally engaged.</w:t>
      </w:r>
    </w:p>
    <w:p w14:paraId="38F4FCFB" w14:textId="77777777" w:rsidR="00A51EA5" w:rsidRDefault="00000000">
      <w:pPr>
        <w:numPr>
          <w:ilvl w:val="0"/>
          <w:numId w:val="1"/>
        </w:numPr>
      </w:pPr>
      <w:r>
        <w:t>Cross-sectional Cohort Design. The study compares two independent samples collected at different time points; therefore, changes reflect population-level shifts, not individual trajectories.</w:t>
      </w:r>
      <w:r>
        <w:br/>
      </w:r>
      <w:r>
        <w:br/>
      </w:r>
    </w:p>
    <w:p w14:paraId="2999F3D0" w14:textId="77777777" w:rsidR="00A51EA5" w:rsidRDefault="00000000">
      <w:pPr>
        <w:rPr>
          <w:b/>
          <w:bCs/>
        </w:rPr>
      </w:pPr>
      <w:r>
        <w:rPr>
          <w:b/>
          <w:bCs/>
        </w:rPr>
        <w:t>3. Results</w:t>
      </w:r>
    </w:p>
    <w:p w14:paraId="122B491C" w14:textId="77777777" w:rsidR="00A51EA5" w:rsidRDefault="00A51EA5"/>
    <w:p w14:paraId="21A062C8" w14:textId="77777777" w:rsidR="00A51EA5" w:rsidRDefault="00000000">
      <w:pPr>
        <w:jc w:val="both"/>
      </w:pPr>
      <w:r>
        <w:t>This section reports descriptive comparisons between two independent cross-sectional cohorts: Dataset A (2022/23; N = 70, mixed EU) and Dataset B (2025; N = 70, convenience sample). Dataset B is heavily concentrated in Italy (n = 35) and Greece (n = 29), which together represent 91.4% of respondents. Given the exploratory design and non-probabilistic sampling, findings are presented using descriptive statistics only (frequencies, means, and percentage distributions), without inferential testing.</w:t>
      </w:r>
    </w:p>
    <w:p w14:paraId="20FA618F" w14:textId="77777777" w:rsidR="00A51EA5" w:rsidRDefault="00000000">
      <w:r>
        <w:t>3.1 Summary comparison across cohorts</w:t>
      </w:r>
    </w:p>
    <w:p w14:paraId="407D68B1" w14:textId="77777777" w:rsidR="00A51EA5" w:rsidRDefault="00000000">
      <w:r>
        <w:t>Table 1 summarizes the directional contrast between the 2022/23 baseline and the 2025 cohort using the two indicators replicated across instruments (exam sentiment and delivery-mode preference).</w:t>
      </w:r>
    </w:p>
    <w:tbl>
      <w:tblPr>
        <w:tblStyle w:val="a"/>
        <w:tblW w:w="8581" w:type="dxa"/>
        <w:tblInd w:w="0" w:type="dxa"/>
        <w:tblLayout w:type="fixed"/>
        <w:tblLook w:val="0400" w:firstRow="0" w:lastRow="0" w:firstColumn="0" w:lastColumn="0" w:noHBand="0" w:noVBand="1"/>
      </w:tblPr>
      <w:tblGrid>
        <w:gridCol w:w="1964"/>
        <w:gridCol w:w="2253"/>
        <w:gridCol w:w="4364"/>
      </w:tblGrid>
      <w:tr w:rsidR="00A51EA5" w14:paraId="7FDF823C" w14:textId="77777777">
        <w:trPr>
          <w:trHeight w:val="810"/>
        </w:trPr>
        <w:tc>
          <w:tcPr>
            <w:tcW w:w="1964" w:type="dxa"/>
            <w:tcBorders>
              <w:top w:val="single" w:sz="4" w:space="0" w:color="1F1F1F"/>
              <w:left w:val="single" w:sz="4" w:space="0" w:color="1F1F1F"/>
              <w:bottom w:val="single" w:sz="4" w:space="0" w:color="1F1F1F"/>
              <w:right w:val="single" w:sz="4" w:space="0" w:color="1F1F1F"/>
            </w:tcBorders>
            <w:shd w:val="clear" w:color="auto" w:fill="EFEFEF"/>
            <w:tcMar>
              <w:top w:w="120" w:type="dxa"/>
              <w:left w:w="180" w:type="dxa"/>
              <w:bottom w:w="120" w:type="dxa"/>
              <w:right w:w="180" w:type="dxa"/>
            </w:tcMar>
          </w:tcPr>
          <w:p w14:paraId="26261B8E" w14:textId="77777777" w:rsidR="00A51EA5" w:rsidRDefault="00000000">
            <w:r>
              <w:t>Metric</w:t>
            </w:r>
          </w:p>
        </w:tc>
        <w:tc>
          <w:tcPr>
            <w:tcW w:w="2253" w:type="dxa"/>
            <w:tcBorders>
              <w:top w:val="single" w:sz="4" w:space="0" w:color="1F1F1F"/>
              <w:left w:val="single" w:sz="4" w:space="0" w:color="1F1F1F"/>
              <w:bottom w:val="single" w:sz="4" w:space="0" w:color="1F1F1F"/>
              <w:right w:val="single" w:sz="4" w:space="0" w:color="1F1F1F"/>
            </w:tcBorders>
            <w:shd w:val="clear" w:color="auto" w:fill="EFEFEF"/>
            <w:tcMar>
              <w:top w:w="120" w:type="dxa"/>
              <w:left w:w="180" w:type="dxa"/>
              <w:bottom w:w="120" w:type="dxa"/>
              <w:right w:w="180" w:type="dxa"/>
            </w:tcMar>
          </w:tcPr>
          <w:p w14:paraId="1EFBD47B" w14:textId="77777777" w:rsidR="00A51EA5" w:rsidRDefault="00000000">
            <w:r>
              <w:t>2022 Baseline (Crisis)</w:t>
            </w:r>
          </w:p>
        </w:tc>
        <w:tc>
          <w:tcPr>
            <w:tcW w:w="4364" w:type="dxa"/>
            <w:tcBorders>
              <w:top w:val="single" w:sz="4" w:space="0" w:color="1F1F1F"/>
              <w:left w:val="single" w:sz="4" w:space="0" w:color="1F1F1F"/>
              <w:bottom w:val="single" w:sz="4" w:space="0" w:color="1F1F1F"/>
              <w:right w:val="single" w:sz="4" w:space="0" w:color="1F1F1F"/>
            </w:tcBorders>
            <w:shd w:val="clear" w:color="auto" w:fill="EFEFEF"/>
            <w:tcMar>
              <w:top w:w="120" w:type="dxa"/>
              <w:left w:w="180" w:type="dxa"/>
              <w:bottom w:w="120" w:type="dxa"/>
              <w:right w:w="180" w:type="dxa"/>
            </w:tcMar>
          </w:tcPr>
          <w:p w14:paraId="3E132782" w14:textId="77777777" w:rsidR="00A51EA5" w:rsidRDefault="00000000">
            <w:r>
              <w:t>2025 Cohort (Normalization)</w:t>
            </w:r>
          </w:p>
        </w:tc>
      </w:tr>
      <w:tr w:rsidR="00A51EA5" w14:paraId="4371832B" w14:textId="77777777">
        <w:trPr>
          <w:trHeight w:val="540"/>
        </w:trPr>
        <w:tc>
          <w:tcPr>
            <w:tcW w:w="1964"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14:paraId="3C943A19" w14:textId="77777777" w:rsidR="00A51EA5" w:rsidRDefault="00000000">
            <w:r>
              <w:t>Sample Size</w:t>
            </w:r>
          </w:p>
        </w:tc>
        <w:tc>
          <w:tcPr>
            <w:tcW w:w="2253"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14:paraId="1D85A621" w14:textId="77777777" w:rsidR="00A51EA5" w:rsidRDefault="00000000">
            <w:r>
              <w:t>N=70 (Mixed EU)</w:t>
            </w:r>
          </w:p>
        </w:tc>
        <w:tc>
          <w:tcPr>
            <w:tcW w:w="4364"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14:paraId="2B42F9AF" w14:textId="77777777" w:rsidR="00A51EA5" w:rsidRDefault="00000000">
            <w:r>
              <w:t>N=70 (91.4% IT/GR)</w:t>
            </w:r>
          </w:p>
        </w:tc>
      </w:tr>
      <w:tr w:rsidR="00A51EA5" w14:paraId="402F4F47" w14:textId="77777777">
        <w:trPr>
          <w:trHeight w:val="810"/>
        </w:trPr>
        <w:tc>
          <w:tcPr>
            <w:tcW w:w="1964"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14:paraId="74C1E53B" w14:textId="77777777" w:rsidR="00A51EA5" w:rsidRDefault="00000000">
            <w:r>
              <w:t>Exam Sentiment</w:t>
            </w:r>
          </w:p>
        </w:tc>
        <w:tc>
          <w:tcPr>
            <w:tcW w:w="2253"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14:paraId="4D83F5C1" w14:textId="77777777" w:rsidR="00A51EA5" w:rsidRDefault="00000000">
            <w:r>
              <w:t>88.5% Dissatisfaction</w:t>
            </w:r>
          </w:p>
        </w:tc>
        <w:tc>
          <w:tcPr>
            <w:tcW w:w="4364"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14:paraId="5A77C78D" w14:textId="77777777" w:rsidR="00A51EA5" w:rsidRDefault="00000000">
            <w:r>
              <w:t>3.2/5.0 Satisfaction (Avg)</w:t>
            </w:r>
          </w:p>
        </w:tc>
      </w:tr>
      <w:tr w:rsidR="00A51EA5" w14:paraId="05646C27" w14:textId="77777777">
        <w:trPr>
          <w:trHeight w:val="810"/>
        </w:trPr>
        <w:tc>
          <w:tcPr>
            <w:tcW w:w="1964"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14:paraId="72013593" w14:textId="77777777" w:rsidR="00A51EA5" w:rsidRDefault="00000000">
            <w:r>
              <w:t>Dominant Anxiety</w:t>
            </w:r>
          </w:p>
        </w:tc>
        <w:tc>
          <w:tcPr>
            <w:tcW w:w="2253"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14:paraId="33713FFD" w14:textId="77777777" w:rsidR="00A51EA5" w:rsidRDefault="00000000">
            <w:r>
              <w:t>Integrity/Proctoring</w:t>
            </w:r>
          </w:p>
        </w:tc>
        <w:tc>
          <w:tcPr>
            <w:tcW w:w="4364"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14:paraId="1AB0A2DB" w14:textId="77777777" w:rsidR="00A51EA5" w:rsidRDefault="00000000">
            <w:r>
              <w:t>Not asked in 2025 instrument (Normalized)</w:t>
            </w:r>
          </w:p>
        </w:tc>
      </w:tr>
      <w:tr w:rsidR="00A51EA5" w14:paraId="2F15BD9F" w14:textId="77777777">
        <w:trPr>
          <w:trHeight w:val="810"/>
        </w:trPr>
        <w:tc>
          <w:tcPr>
            <w:tcW w:w="1964"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14:paraId="7895B74E" w14:textId="77777777" w:rsidR="00A51EA5" w:rsidRDefault="00000000">
            <w:r>
              <w:lastRenderedPageBreak/>
              <w:t>Primary Demand</w:t>
            </w:r>
          </w:p>
        </w:tc>
        <w:tc>
          <w:tcPr>
            <w:tcW w:w="2253"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14:paraId="22A632CF" w14:textId="77777777" w:rsidR="00A51EA5" w:rsidRDefault="00000000">
            <w:r>
              <w:t>"Survival" / Fairness</w:t>
            </w:r>
          </w:p>
        </w:tc>
        <w:tc>
          <w:tcPr>
            <w:tcW w:w="4364"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14:paraId="5CF7F242" w14:textId="77777777" w:rsidR="00A51EA5" w:rsidRDefault="00000000">
            <w:pPr>
              <w:keepNext/>
            </w:pPr>
            <w:r>
              <w:t>Split: Flexibility (~40%) vs. Interaction (~35%)</w:t>
            </w:r>
          </w:p>
        </w:tc>
      </w:tr>
    </w:tbl>
    <w:p w14:paraId="701848F6" w14:textId="77777777" w:rsidR="00A51EA5" w:rsidRDefault="00000000">
      <w:pPr>
        <w:pBdr>
          <w:top w:val="nil"/>
          <w:left w:val="nil"/>
          <w:bottom w:val="nil"/>
          <w:right w:val="nil"/>
          <w:between w:val="nil"/>
        </w:pBdr>
        <w:spacing w:after="200" w:line="240" w:lineRule="auto"/>
        <w:rPr>
          <w:i/>
          <w:iCs/>
          <w:color w:val="44546A"/>
          <w:sz w:val="18"/>
          <w:szCs w:val="18"/>
        </w:rPr>
      </w:pPr>
      <w:r>
        <w:rPr>
          <w:i/>
          <w:iCs/>
          <w:color w:val="44546A"/>
          <w:sz w:val="18"/>
          <w:szCs w:val="18"/>
        </w:rPr>
        <w:t>Table 1 Longitudinal comparison between 2022 baseline and 2025 cohort (core indicators).</w:t>
      </w:r>
    </w:p>
    <w:p w14:paraId="6EB3FB27" w14:textId="77777777" w:rsidR="00A51EA5" w:rsidRDefault="00A51EA5"/>
    <w:p w14:paraId="09B6F5B1" w14:textId="77777777" w:rsidR="00A51EA5" w:rsidRPr="001C6671" w:rsidRDefault="00000000">
      <w:pPr>
        <w:rPr>
          <w:lang w:val="fr-FR"/>
        </w:rPr>
      </w:pPr>
      <w:r w:rsidRPr="001C6671">
        <w:rPr>
          <w:lang w:val="fr-FR"/>
        </w:rPr>
        <w:t>3.2 Online exam sentiment: 2022/23 dissatisfaction vs. 2025 satisfaction</w:t>
      </w:r>
    </w:p>
    <w:p w14:paraId="4AFC37C7" w14:textId="77777777" w:rsidR="00A51EA5" w:rsidRDefault="00000000">
      <w:r>
        <w:t>In Dataset A (2022/23), sentiment toward online exams was predominantly negative: 88.5% of respondents selected negative categories (e.g., “Don’t work” / “Don’t like the actual situation”).</w:t>
      </w:r>
    </w:p>
    <w:p w14:paraId="48F4BB23" w14:textId="77777777" w:rsidR="00A51EA5" w:rsidRDefault="00000000">
      <w:r>
        <w:t>In Dataset B (2025), online exam sentiment was measured using a 5-point Likert satisfaction item. The average satisfaction rating was 3.2 out of 5. However, the frequency distribution offers a deeper insight than the mean alone. The "Bottom-Box" of dissatisfaction (scores 1–2) accounted for only 15.3% of the sample, marking a massive drop from the 88.5% rejection rate of the baseline. The largest segment (44.7%) selected the "Neutral" category (score 3), suggesting that online exams have transitioned from a controversial emergency measure to a standard administrative procedure. Furthermore, the "Top-Box" (scores 4–5) shows that 40.0% of students are now explicitly satisfied with the methodology. This shift confirms a normalization of digital assessment.3.3 Delivery priorities in 2025: forced-choice segmentation</w:t>
      </w:r>
    </w:p>
    <w:p w14:paraId="6FBC127E" w14:textId="77777777" w:rsidR="00A51EA5" w:rsidRDefault="00000000">
      <w:r>
        <w:t xml:space="preserve">Dataset B included a single-choice prioritization item (“What one thing would most improve your experience?”) with four response options: Interactive Live Lessons (synchronous), Pre-recorded Lessons (asynchronous), Fairer Exams (assessment), and Support (pastoral). This forced-choice format was intended to prevent multi-preference inflation and to identify dominant preferences. </w:t>
      </w:r>
    </w:p>
    <w:p w14:paraId="1D1E5161" w14:textId="77777777" w:rsidR="00A51EA5" w:rsidRDefault="00000000">
      <w:pPr>
        <w:keepNext/>
        <w:pBdr>
          <w:top w:val="nil"/>
          <w:left w:val="nil"/>
          <w:bottom w:val="nil"/>
          <w:right w:val="nil"/>
          <w:between w:val="nil"/>
        </w:pBdr>
        <w:spacing w:after="200" w:line="240" w:lineRule="auto"/>
        <w:rPr>
          <w:i/>
          <w:iCs/>
          <w:color w:val="44546A"/>
          <w:sz w:val="18"/>
          <w:szCs w:val="18"/>
        </w:rPr>
      </w:pPr>
      <w:r>
        <w:rPr>
          <w:i/>
          <w:iCs/>
          <w:color w:val="44546A"/>
          <w:sz w:val="18"/>
          <w:szCs w:val="18"/>
        </w:rPr>
        <w:t>Responses concentrated in two options, indicating a split in the dominant preference structure within the 2025 cohort: approximately 40% selected improved pre-recorded lessons, while approximately 35% selected more interactive live lessons. The remaining options (fairer exams and support) were each selected by fewer than 15% of respondents.</w:t>
      </w:r>
    </w:p>
    <w:tbl>
      <w:tblPr>
        <w:tblStyle w:val="a0"/>
        <w:tblW w:w="8653" w:type="dxa"/>
        <w:tblInd w:w="0" w:type="dxa"/>
        <w:tblBorders>
          <w:top w:val="single" w:sz="24" w:space="0" w:color="000000"/>
          <w:left w:val="single" w:sz="24" w:space="0" w:color="000000"/>
          <w:bottom w:val="single" w:sz="24" w:space="0" w:color="000000"/>
          <w:right w:val="single" w:sz="24" w:space="0" w:color="000000"/>
        </w:tblBorders>
        <w:shd w:val="clear" w:color="auto" w:fill="FFFFFF" w:themeFill="background1"/>
        <w:tblLayout w:type="fixed"/>
        <w:tblLook w:val="04A0" w:firstRow="1" w:lastRow="0" w:firstColumn="1" w:lastColumn="0" w:noHBand="0" w:noVBand="1"/>
      </w:tblPr>
      <w:tblGrid>
        <w:gridCol w:w="3787"/>
        <w:gridCol w:w="2474"/>
        <w:gridCol w:w="2392"/>
      </w:tblGrid>
      <w:tr w:rsidR="00A51EA5" w:rsidRPr="00F2724A" w14:paraId="5ED163CE" w14:textId="77777777" w:rsidTr="00F2724A">
        <w:trPr>
          <w:cnfStyle w:val="100000000000" w:firstRow="1" w:lastRow="0" w:firstColumn="0" w:lastColumn="0" w:oddVBand="0" w:evenVBand="0" w:oddHBand="0" w:evenHBand="0" w:firstRowFirstColumn="0" w:firstRowLastColumn="0" w:lastRowFirstColumn="0" w:lastRowLastColumn="0"/>
          <w:trHeight w:val="460"/>
        </w:trPr>
        <w:tc>
          <w:tcPr>
            <w:cnfStyle w:val="001000000100" w:firstRow="0" w:lastRow="0" w:firstColumn="1" w:lastColumn="0" w:oddVBand="0" w:evenVBand="0" w:oddHBand="0" w:evenHBand="0" w:firstRowFirstColumn="1" w:firstRowLastColumn="0" w:lastRowFirstColumn="0" w:lastRowLastColumn="0"/>
            <w:tcW w:w="3787" w:type="dxa"/>
            <w:tcBorders>
              <w:top w:val="single" w:sz="2" w:space="0" w:color="FFFFFF" w:themeColor="background1"/>
              <w:left w:val="single" w:sz="2" w:space="0" w:color="FFFFFF" w:themeColor="background1"/>
            </w:tcBorders>
            <w:shd w:val="clear" w:color="auto" w:fill="FFFFFF" w:themeFill="background1"/>
          </w:tcPr>
          <w:p w14:paraId="2F24B567" w14:textId="77777777" w:rsidR="00A51EA5" w:rsidRPr="00F2724A" w:rsidRDefault="00000000">
            <w:pPr>
              <w:spacing w:after="160" w:line="259" w:lineRule="auto"/>
              <w:rPr>
                <w:color w:val="000000" w:themeColor="text1"/>
              </w:rPr>
            </w:pPr>
            <w:r w:rsidRPr="00F2724A">
              <w:rPr>
                <w:color w:val="000000" w:themeColor="text1"/>
              </w:rPr>
              <w:t>Option (2025)</w:t>
            </w:r>
          </w:p>
        </w:tc>
        <w:tc>
          <w:tcPr>
            <w:tcW w:w="2474" w:type="dxa"/>
            <w:tcBorders>
              <w:top w:val="single" w:sz="2" w:space="0" w:color="FFFFFF" w:themeColor="background1"/>
            </w:tcBorders>
            <w:shd w:val="clear" w:color="auto" w:fill="FFFFFF" w:themeFill="background1"/>
          </w:tcPr>
          <w:p w14:paraId="2E500EFB" w14:textId="77777777" w:rsidR="00A51EA5" w:rsidRPr="00F2724A" w:rsidRDefault="00000000">
            <w:pPr>
              <w:spacing w:after="160" w:line="259" w:lineRule="auto"/>
              <w:cnfStyle w:val="100000000000" w:firstRow="1" w:lastRow="0" w:firstColumn="0" w:lastColumn="0" w:oddVBand="0" w:evenVBand="0" w:oddHBand="0" w:evenHBand="0" w:firstRowFirstColumn="0" w:firstRowLastColumn="0" w:lastRowFirstColumn="0" w:lastRowLastColumn="0"/>
              <w:rPr>
                <w:color w:val="000000" w:themeColor="text1"/>
              </w:rPr>
            </w:pPr>
            <w:r w:rsidRPr="00F2724A">
              <w:rPr>
                <w:color w:val="000000" w:themeColor="text1"/>
              </w:rPr>
              <w:t>Construct</w:t>
            </w:r>
          </w:p>
        </w:tc>
        <w:tc>
          <w:tcPr>
            <w:tcW w:w="2392" w:type="dxa"/>
            <w:tcBorders>
              <w:top w:val="single" w:sz="2" w:space="0" w:color="FFFFFF" w:themeColor="background1"/>
              <w:right w:val="single" w:sz="2" w:space="0" w:color="FFFFFF" w:themeColor="background1"/>
            </w:tcBorders>
            <w:shd w:val="clear" w:color="auto" w:fill="FFFFFF" w:themeFill="background1"/>
          </w:tcPr>
          <w:p w14:paraId="505B6F80" w14:textId="77777777" w:rsidR="00A51EA5" w:rsidRPr="00F2724A" w:rsidRDefault="00000000">
            <w:pPr>
              <w:spacing w:after="160" w:line="259" w:lineRule="auto"/>
              <w:cnfStyle w:val="100000000000" w:firstRow="1" w:lastRow="0" w:firstColumn="0" w:lastColumn="0" w:oddVBand="0" w:evenVBand="0" w:oddHBand="0" w:evenHBand="0" w:firstRowFirstColumn="0" w:firstRowLastColumn="0" w:lastRowFirstColumn="0" w:lastRowLastColumn="0"/>
              <w:rPr>
                <w:color w:val="000000" w:themeColor="text1"/>
              </w:rPr>
            </w:pPr>
            <w:r w:rsidRPr="00F2724A">
              <w:rPr>
                <w:color w:val="000000" w:themeColor="text1"/>
              </w:rPr>
              <w:t>Share of respondents</w:t>
            </w:r>
          </w:p>
        </w:tc>
      </w:tr>
      <w:tr w:rsidR="00A51EA5" w:rsidRPr="00F2724A" w14:paraId="705EF26B" w14:textId="77777777" w:rsidTr="00F2724A">
        <w:trPr>
          <w:cnfStyle w:val="000000100000" w:firstRow="0" w:lastRow="0" w:firstColumn="0" w:lastColumn="0" w:oddVBand="0" w:evenVBand="0" w:oddHBand="1" w:evenHBand="0" w:firstRowFirstColumn="0" w:firstRowLastColumn="0" w:lastRowFirstColumn="0" w:lastRowLastColumn="0"/>
          <w:trHeight w:val="448"/>
        </w:trPr>
        <w:tc>
          <w:tcPr>
            <w:cnfStyle w:val="001000000000" w:firstRow="0" w:lastRow="0" w:firstColumn="1" w:lastColumn="0" w:oddVBand="0" w:evenVBand="0" w:oddHBand="0" w:evenHBand="0" w:firstRowFirstColumn="0" w:firstRowLastColumn="0" w:lastRowFirstColumn="0" w:lastRowLastColumn="0"/>
            <w:tcW w:w="3787" w:type="dxa"/>
            <w:tcBorders>
              <w:left w:val="single" w:sz="2" w:space="0" w:color="FFFFFF" w:themeColor="background1"/>
            </w:tcBorders>
            <w:shd w:val="clear" w:color="auto" w:fill="FFFFFF" w:themeFill="background1"/>
          </w:tcPr>
          <w:p w14:paraId="21EEBBAA" w14:textId="77777777" w:rsidR="00A51EA5" w:rsidRPr="00F2724A" w:rsidRDefault="00000000">
            <w:pPr>
              <w:spacing w:after="160" w:line="259" w:lineRule="auto"/>
              <w:rPr>
                <w:color w:val="000000" w:themeColor="text1"/>
              </w:rPr>
            </w:pPr>
            <w:r w:rsidRPr="00F2724A">
              <w:rPr>
                <w:color w:val="000000" w:themeColor="text1"/>
              </w:rPr>
              <w:t>Better quality pre-recorded lessons</w:t>
            </w:r>
          </w:p>
        </w:tc>
        <w:tc>
          <w:tcPr>
            <w:tcW w:w="2474" w:type="dxa"/>
            <w:shd w:val="clear" w:color="auto" w:fill="FFFFFF" w:themeFill="background1"/>
          </w:tcPr>
          <w:p w14:paraId="5EA23CD3" w14:textId="77777777" w:rsidR="00A51EA5" w:rsidRPr="00F2724A" w:rsidRDefault="00000000">
            <w:pPr>
              <w:spacing w:after="160" w:line="259" w:lineRule="auto"/>
              <w:cnfStyle w:val="000000100000" w:firstRow="0" w:lastRow="0" w:firstColumn="0" w:lastColumn="0" w:oddVBand="0" w:evenVBand="0" w:oddHBand="1" w:evenHBand="0" w:firstRowFirstColumn="0" w:firstRowLastColumn="0" w:lastRowFirstColumn="0" w:lastRowLastColumn="0"/>
              <w:rPr>
                <w:color w:val="000000" w:themeColor="text1"/>
              </w:rPr>
            </w:pPr>
            <w:r w:rsidRPr="00F2724A">
              <w:rPr>
                <w:color w:val="000000" w:themeColor="text1"/>
              </w:rPr>
              <w:t>Asynchronous delivery</w:t>
            </w:r>
          </w:p>
        </w:tc>
        <w:tc>
          <w:tcPr>
            <w:tcW w:w="2392" w:type="dxa"/>
            <w:tcBorders>
              <w:right w:val="single" w:sz="2" w:space="0" w:color="FFFFFF" w:themeColor="background1"/>
            </w:tcBorders>
            <w:shd w:val="clear" w:color="auto" w:fill="FFFFFF" w:themeFill="background1"/>
          </w:tcPr>
          <w:p w14:paraId="11046337" w14:textId="77777777" w:rsidR="00A51EA5" w:rsidRPr="00F2724A" w:rsidRDefault="00000000">
            <w:pPr>
              <w:spacing w:after="160" w:line="259" w:lineRule="auto"/>
              <w:cnfStyle w:val="000000100000" w:firstRow="0" w:lastRow="0" w:firstColumn="0" w:lastColumn="0" w:oddVBand="0" w:evenVBand="0" w:oddHBand="1" w:evenHBand="0" w:firstRowFirstColumn="0" w:firstRowLastColumn="0" w:lastRowFirstColumn="0" w:lastRowLastColumn="0"/>
              <w:rPr>
                <w:color w:val="000000" w:themeColor="text1"/>
              </w:rPr>
            </w:pPr>
            <w:r w:rsidRPr="00F2724A">
              <w:rPr>
                <w:color w:val="000000" w:themeColor="text1"/>
              </w:rPr>
              <w:t>~40%</w:t>
            </w:r>
          </w:p>
        </w:tc>
      </w:tr>
      <w:tr w:rsidR="00A51EA5" w:rsidRPr="00F2724A" w14:paraId="2E4D7730" w14:textId="77777777" w:rsidTr="00F2724A">
        <w:trPr>
          <w:trHeight w:val="460"/>
        </w:trPr>
        <w:tc>
          <w:tcPr>
            <w:cnfStyle w:val="001000000000" w:firstRow="0" w:lastRow="0" w:firstColumn="1" w:lastColumn="0" w:oddVBand="0" w:evenVBand="0" w:oddHBand="0" w:evenHBand="0" w:firstRowFirstColumn="0" w:firstRowLastColumn="0" w:lastRowFirstColumn="0" w:lastRowLastColumn="0"/>
            <w:tcW w:w="3787" w:type="dxa"/>
            <w:tcBorders>
              <w:left w:val="single" w:sz="2" w:space="0" w:color="FFFFFF" w:themeColor="background1"/>
            </w:tcBorders>
            <w:shd w:val="clear" w:color="auto" w:fill="FFFFFF" w:themeFill="background1"/>
          </w:tcPr>
          <w:p w14:paraId="0586F0FB" w14:textId="77777777" w:rsidR="00A51EA5" w:rsidRPr="00F2724A" w:rsidRDefault="00000000">
            <w:pPr>
              <w:spacing w:after="160" w:line="259" w:lineRule="auto"/>
              <w:rPr>
                <w:color w:val="000000" w:themeColor="text1"/>
              </w:rPr>
            </w:pPr>
            <w:r w:rsidRPr="00F2724A">
              <w:rPr>
                <w:color w:val="000000" w:themeColor="text1"/>
              </w:rPr>
              <w:t>More interactive live lessons</w:t>
            </w:r>
          </w:p>
        </w:tc>
        <w:tc>
          <w:tcPr>
            <w:tcW w:w="2474" w:type="dxa"/>
            <w:shd w:val="clear" w:color="auto" w:fill="FFFFFF" w:themeFill="background1"/>
          </w:tcPr>
          <w:p w14:paraId="24D77546" w14:textId="77777777" w:rsidR="00A51EA5" w:rsidRPr="00F2724A" w:rsidRDefault="00000000">
            <w:pPr>
              <w:spacing w:after="160" w:line="259"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F2724A">
              <w:rPr>
                <w:color w:val="000000" w:themeColor="text1"/>
              </w:rPr>
              <w:t>Synchronous delivery</w:t>
            </w:r>
          </w:p>
        </w:tc>
        <w:tc>
          <w:tcPr>
            <w:tcW w:w="2392" w:type="dxa"/>
            <w:tcBorders>
              <w:right w:val="single" w:sz="2" w:space="0" w:color="FFFFFF" w:themeColor="background1"/>
            </w:tcBorders>
            <w:shd w:val="clear" w:color="auto" w:fill="FFFFFF" w:themeFill="background1"/>
          </w:tcPr>
          <w:p w14:paraId="78BAB8B9" w14:textId="77777777" w:rsidR="00A51EA5" w:rsidRPr="00F2724A" w:rsidRDefault="00000000">
            <w:pPr>
              <w:spacing w:after="160" w:line="259"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F2724A">
              <w:rPr>
                <w:color w:val="000000" w:themeColor="text1"/>
              </w:rPr>
              <w:t>~35%</w:t>
            </w:r>
          </w:p>
        </w:tc>
      </w:tr>
      <w:tr w:rsidR="00A51EA5" w:rsidRPr="00F2724A" w14:paraId="502F2179" w14:textId="77777777" w:rsidTr="00F2724A">
        <w:trPr>
          <w:cnfStyle w:val="000000100000" w:firstRow="0" w:lastRow="0" w:firstColumn="0" w:lastColumn="0" w:oddVBand="0" w:evenVBand="0" w:oddHBand="1" w:evenHBand="0" w:firstRowFirstColumn="0" w:firstRowLastColumn="0" w:lastRowFirstColumn="0" w:lastRowLastColumn="0"/>
          <w:trHeight w:val="448"/>
        </w:trPr>
        <w:tc>
          <w:tcPr>
            <w:cnfStyle w:val="001000000000" w:firstRow="0" w:lastRow="0" w:firstColumn="1" w:lastColumn="0" w:oddVBand="0" w:evenVBand="0" w:oddHBand="0" w:evenHBand="0" w:firstRowFirstColumn="0" w:firstRowLastColumn="0" w:lastRowFirstColumn="0" w:lastRowLastColumn="0"/>
            <w:tcW w:w="3787" w:type="dxa"/>
            <w:tcBorders>
              <w:left w:val="single" w:sz="2" w:space="0" w:color="FFFFFF" w:themeColor="background1"/>
            </w:tcBorders>
            <w:shd w:val="clear" w:color="auto" w:fill="FFFFFF" w:themeFill="background1"/>
          </w:tcPr>
          <w:p w14:paraId="6CE22827" w14:textId="77777777" w:rsidR="00A51EA5" w:rsidRPr="00F2724A" w:rsidRDefault="00000000">
            <w:pPr>
              <w:spacing w:after="160" w:line="259" w:lineRule="auto"/>
              <w:rPr>
                <w:color w:val="000000" w:themeColor="text1"/>
              </w:rPr>
            </w:pPr>
            <w:r w:rsidRPr="00F2724A">
              <w:rPr>
                <w:color w:val="000000" w:themeColor="text1"/>
              </w:rPr>
              <w:t>Fairer exams</w:t>
            </w:r>
          </w:p>
        </w:tc>
        <w:tc>
          <w:tcPr>
            <w:tcW w:w="2474" w:type="dxa"/>
            <w:shd w:val="clear" w:color="auto" w:fill="FFFFFF" w:themeFill="background1"/>
          </w:tcPr>
          <w:p w14:paraId="3B2B5774" w14:textId="77777777" w:rsidR="00A51EA5" w:rsidRPr="00F2724A" w:rsidRDefault="00000000">
            <w:pPr>
              <w:spacing w:after="160" w:line="259" w:lineRule="auto"/>
              <w:cnfStyle w:val="000000100000" w:firstRow="0" w:lastRow="0" w:firstColumn="0" w:lastColumn="0" w:oddVBand="0" w:evenVBand="0" w:oddHBand="1" w:evenHBand="0" w:firstRowFirstColumn="0" w:firstRowLastColumn="0" w:lastRowFirstColumn="0" w:lastRowLastColumn="0"/>
              <w:rPr>
                <w:color w:val="000000" w:themeColor="text1"/>
              </w:rPr>
            </w:pPr>
            <w:r w:rsidRPr="00F2724A">
              <w:rPr>
                <w:color w:val="000000" w:themeColor="text1"/>
              </w:rPr>
              <w:t>Assessment</w:t>
            </w:r>
          </w:p>
        </w:tc>
        <w:tc>
          <w:tcPr>
            <w:tcW w:w="2392" w:type="dxa"/>
            <w:tcBorders>
              <w:right w:val="single" w:sz="2" w:space="0" w:color="FFFFFF" w:themeColor="background1"/>
            </w:tcBorders>
            <w:shd w:val="clear" w:color="auto" w:fill="FFFFFF" w:themeFill="background1"/>
          </w:tcPr>
          <w:p w14:paraId="08C6DD94" w14:textId="77777777" w:rsidR="00A51EA5" w:rsidRPr="00F2724A" w:rsidRDefault="00000000">
            <w:pPr>
              <w:spacing w:after="160" w:line="259" w:lineRule="auto"/>
              <w:cnfStyle w:val="000000100000" w:firstRow="0" w:lastRow="0" w:firstColumn="0" w:lastColumn="0" w:oddVBand="0" w:evenVBand="0" w:oddHBand="1" w:evenHBand="0" w:firstRowFirstColumn="0" w:firstRowLastColumn="0" w:lastRowFirstColumn="0" w:lastRowLastColumn="0"/>
              <w:rPr>
                <w:color w:val="000000" w:themeColor="text1"/>
              </w:rPr>
            </w:pPr>
            <w:r w:rsidRPr="00F2724A">
              <w:rPr>
                <w:color w:val="000000" w:themeColor="text1"/>
              </w:rPr>
              <w:t>&lt;15%</w:t>
            </w:r>
          </w:p>
        </w:tc>
      </w:tr>
      <w:tr w:rsidR="00A51EA5" w:rsidRPr="00F2724A" w14:paraId="40124F38" w14:textId="77777777" w:rsidTr="00F2724A">
        <w:trPr>
          <w:trHeight w:val="460"/>
        </w:trPr>
        <w:tc>
          <w:tcPr>
            <w:cnfStyle w:val="001000000000" w:firstRow="0" w:lastRow="0" w:firstColumn="1" w:lastColumn="0" w:oddVBand="0" w:evenVBand="0" w:oddHBand="0" w:evenHBand="0" w:firstRowFirstColumn="0" w:firstRowLastColumn="0" w:lastRowFirstColumn="0" w:lastRowLastColumn="0"/>
            <w:tcW w:w="3787" w:type="dxa"/>
            <w:tcBorders>
              <w:left w:val="single" w:sz="2" w:space="0" w:color="FFFFFF" w:themeColor="background1"/>
              <w:bottom w:val="single" w:sz="2" w:space="0" w:color="FFFFFF" w:themeColor="background1"/>
            </w:tcBorders>
            <w:shd w:val="clear" w:color="auto" w:fill="FFFFFF" w:themeFill="background1"/>
          </w:tcPr>
          <w:p w14:paraId="3B240D54" w14:textId="77777777" w:rsidR="00A51EA5" w:rsidRPr="00F2724A" w:rsidRDefault="00000000">
            <w:pPr>
              <w:spacing w:after="160" w:line="259" w:lineRule="auto"/>
              <w:rPr>
                <w:color w:val="000000" w:themeColor="text1"/>
              </w:rPr>
            </w:pPr>
            <w:r w:rsidRPr="00F2724A">
              <w:rPr>
                <w:color w:val="000000" w:themeColor="text1"/>
              </w:rPr>
              <w:t>Professor support</w:t>
            </w:r>
          </w:p>
        </w:tc>
        <w:tc>
          <w:tcPr>
            <w:tcW w:w="2474" w:type="dxa"/>
            <w:tcBorders>
              <w:bottom w:val="single" w:sz="2" w:space="0" w:color="FFFFFF" w:themeColor="background1"/>
            </w:tcBorders>
            <w:shd w:val="clear" w:color="auto" w:fill="FFFFFF" w:themeFill="background1"/>
          </w:tcPr>
          <w:p w14:paraId="71201858" w14:textId="77777777" w:rsidR="00A51EA5" w:rsidRPr="00F2724A" w:rsidRDefault="00000000">
            <w:pPr>
              <w:spacing w:after="160" w:line="259"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F2724A">
              <w:rPr>
                <w:color w:val="000000" w:themeColor="text1"/>
              </w:rPr>
              <w:t>Pastoral/support</w:t>
            </w:r>
          </w:p>
        </w:tc>
        <w:tc>
          <w:tcPr>
            <w:tcW w:w="2392" w:type="dxa"/>
            <w:tcBorders>
              <w:bottom w:val="single" w:sz="2" w:space="0" w:color="FFFFFF" w:themeColor="background1"/>
              <w:right w:val="single" w:sz="2" w:space="0" w:color="FFFFFF" w:themeColor="background1"/>
            </w:tcBorders>
            <w:shd w:val="clear" w:color="auto" w:fill="FFFFFF" w:themeFill="background1"/>
          </w:tcPr>
          <w:p w14:paraId="7752D716" w14:textId="77777777" w:rsidR="00A51EA5" w:rsidRPr="00F2724A" w:rsidRDefault="00000000">
            <w:pPr>
              <w:keepNext/>
              <w:spacing w:after="160" w:line="259"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F2724A">
              <w:rPr>
                <w:color w:val="000000" w:themeColor="text1"/>
              </w:rPr>
              <w:t>&lt;15%</w:t>
            </w:r>
          </w:p>
        </w:tc>
      </w:tr>
    </w:tbl>
    <w:p w14:paraId="1975E44C" w14:textId="77777777" w:rsidR="00A51EA5" w:rsidRDefault="00000000">
      <w:pPr>
        <w:pBdr>
          <w:top w:val="nil"/>
          <w:left w:val="nil"/>
          <w:bottom w:val="nil"/>
          <w:right w:val="nil"/>
          <w:between w:val="nil"/>
        </w:pBdr>
        <w:spacing w:after="200" w:line="240" w:lineRule="auto"/>
        <w:rPr>
          <w:i/>
          <w:iCs/>
          <w:color w:val="44546A"/>
          <w:sz w:val="18"/>
          <w:szCs w:val="18"/>
        </w:rPr>
      </w:pPr>
      <w:r>
        <w:rPr>
          <w:i/>
          <w:iCs/>
          <w:color w:val="44546A"/>
          <w:sz w:val="18"/>
          <w:szCs w:val="18"/>
        </w:rPr>
        <w:t>Table 2 2025 forced-choice prioritization: most important improvement (percentages as reported).</w:t>
      </w:r>
    </w:p>
    <w:p w14:paraId="5AC3FFFD" w14:textId="77777777" w:rsidR="00A51EA5" w:rsidRDefault="00000000">
      <w:pPr>
        <w:rPr>
          <w:b/>
          <w:bCs/>
        </w:rPr>
      </w:pPr>
      <w:r>
        <w:rPr>
          <w:b/>
          <w:bCs/>
        </w:rPr>
        <w:t>4. Discussion</w:t>
      </w:r>
    </w:p>
    <w:p w14:paraId="2C407895" w14:textId="77777777" w:rsidR="00A51EA5" w:rsidRDefault="00000000">
      <w:pPr>
        <w:ind w:firstLine="708"/>
        <w:jc w:val="both"/>
      </w:pPr>
      <w:r>
        <w:t xml:space="preserve">The comparison between the 2022/23 baseline and the 2025 follow-up suggests a meaningful transition from crisis-driven concerns to post-emergency optimization. In the baseline, online assessment sentiment was overwhelmingly negative (88.5% dissatisfaction), whereas the 2025 cohort reports moderate </w:t>
      </w:r>
      <w:r>
        <w:lastRenderedPageBreak/>
        <w:t>acceptance (average satisfaction 3.2/5). This directional shift supports the interpretation that assessment has undergone a process of normalization: it is no longer experienced primarily as a contested emergency measure, but increasingly as an administratively accepted standard within the student experience.</w:t>
      </w:r>
    </w:p>
    <w:p w14:paraId="405EC6A5" w14:textId="77777777" w:rsidR="00A51EA5" w:rsidRDefault="00000000">
      <w:pPr>
        <w:ind w:firstLine="708"/>
        <w:jc w:val="both"/>
      </w:pPr>
      <w:r>
        <w:t xml:space="preserve">This finding is strategically important for the SOULSS narrative because early project attention was shaped by the provider-centric perspective, where faculty anxieties dominated institutional sensemaking (Di </w:t>
      </w:r>
      <w:proofErr w:type="spellStart"/>
      <w:r>
        <w:t>Flumeri</w:t>
      </w:r>
      <w:proofErr w:type="spellEnd"/>
      <w:r>
        <w:t xml:space="preserve"> &amp; Santos, 2025; Perone &amp; Ronca, 2025). While these concerns were coherent in the Emergency Remote Teaching (ERT) phase (Hodges et al., 2020), the student data here indicate that the center of gravity has shifted. Rather than returning to “exam crisis” dynamics, the post-emergency student agenda appears to be focused on pedagogical quality and delivery design.</w:t>
      </w:r>
    </w:p>
    <w:p w14:paraId="0EF76B9B" w14:textId="77777777" w:rsidR="00A51EA5" w:rsidRDefault="00000000">
      <w:pPr>
        <w:ind w:firstLine="708"/>
        <w:jc w:val="both"/>
      </w:pPr>
      <w:r>
        <w:t>The most consequential result is therefore not only the reduction in assessment dissatisfaction, but the emergence of a clear internal segmentation in what students want improved. When forced to prioritize a single change, the 2025 cohort does not converge on one dominant “student voice,” but splits into two nearly balanced preferences: “better quality pre-recorded lessons” (~40%) versus “more interactive live lessons” (~35%). This indicates that the main friction is no longer procedural (integrity/proctoring) but pedagogical (</w:t>
      </w:r>
      <w:proofErr w:type="spellStart"/>
      <w:r>
        <w:t>Hrastinski</w:t>
      </w:r>
      <w:proofErr w:type="spellEnd"/>
      <w:r>
        <w:t xml:space="preserve">, 2008). </w:t>
      </w:r>
    </w:p>
    <w:p w14:paraId="44E7CD9C" w14:textId="77777777" w:rsidR="00A51EA5" w:rsidRDefault="00000000">
      <w:pPr>
        <w:ind w:firstLine="708"/>
        <w:jc w:val="both"/>
      </w:pPr>
      <w:r>
        <w:t xml:space="preserve">Interpreting this split through the Community of Inquiry framework is theoretically coherent. The “On-Demand” profile expresses a content-centered logic consistent with stronger emphasis on structured engagement with learning materials, while the “Social” profile reflects a preference for interaction, immediacy, and dialogic learning (Garrison et al., 1999). Importantly, given that this study compares two independent cohorts rather than tracking the same individuals, it is more accurate to describe this as an emergent polarization rather than a “stable bifurcation.” </w:t>
      </w:r>
    </w:p>
    <w:p w14:paraId="0BC7AB46" w14:textId="77777777" w:rsidR="00A51EA5" w:rsidRDefault="00000000">
      <w:pPr>
        <w:ind w:firstLine="708"/>
        <w:jc w:val="both"/>
      </w:pPr>
      <w:r>
        <w:t>These results also sharpen the “policy blind spot” argument raised in SOULSS work on Mediterranean institutional constraints. If policy remains anchored to legacy assessment anxieties, universities may optimize the wrong bottleneck, underinvesting in the learning design capacity now demanded by students (Martínez et al., 2025; Montanari et al., 2022). In practice, anyone-size-fits-all approach risks systematically failing one group: over-privileging recordings can alienate students who define quality through interaction, while over-privileging synchronous delivery can frustrate students whose lived constraints make flexibility the primary driver of perceived quality.</w:t>
      </w:r>
    </w:p>
    <w:p w14:paraId="0602487E" w14:textId="77777777" w:rsidR="00A51EA5" w:rsidRDefault="00000000">
      <w:pPr>
        <w:ind w:firstLine="708"/>
        <w:jc w:val="both"/>
      </w:pPr>
      <w:r>
        <w:t xml:space="preserve">For this reason, the policy implication is not merely “choose online vs on-campus” or “prioritize integrity vs engagement,” but to institutionalize equivalence of value across modes. </w:t>
      </w:r>
      <w:proofErr w:type="spellStart"/>
      <w:r>
        <w:t>HyFlex</w:t>
      </w:r>
      <w:proofErr w:type="spellEnd"/>
      <w:r>
        <w:t xml:space="preserve"> (Hybrid-Flexible) models provide a plausible strategic direction because they are explicitly designed to allow students to engage either synchronously or asynchronously without relegating either pathway to second-class status (Beatty, 2019). However, the key operational nuance is that </w:t>
      </w:r>
      <w:proofErr w:type="spellStart"/>
      <w:r>
        <w:t>HyFlex</w:t>
      </w:r>
      <w:proofErr w:type="spellEnd"/>
      <w:r>
        <w:t xml:space="preserve"> succeeds only when both pathways are intentionally designed: asynchronous delivery requires high-quality, structured learning assets; synchronous delivery requires facilitation and interaction design, not simply “live transmission.”</w:t>
      </w:r>
    </w:p>
    <w:p w14:paraId="20A3B5C2" w14:textId="77777777" w:rsidR="00A51EA5" w:rsidRDefault="00000000">
      <w:pPr>
        <w:jc w:val="both"/>
      </w:pPr>
      <w:r>
        <w:t xml:space="preserve">Finally, these findings should be interpreted within the stated boundary conditions: the analysis is descriptive (non-probabilistic sampling), the 2025 cohort is heavily concentrated in Italy/Greece, and the 2025 instrument is intentionally more focused. Even under these constraints, the study provides a useful strategic </w:t>
      </w:r>
      <w:r>
        <w:lastRenderedPageBreak/>
        <w:t>signal: the post-ERT challenge is no longer dominated by exam legitimacy, but by competing definitions of “quality learning” that require differentiated design responses rather than a single institutional solution.</w:t>
      </w:r>
    </w:p>
    <w:p w14:paraId="43809EDB" w14:textId="77777777" w:rsidR="00A51EA5" w:rsidRDefault="00000000">
      <w:pPr>
        <w:rPr>
          <w:b/>
          <w:bCs/>
        </w:rPr>
      </w:pPr>
      <w:r>
        <w:rPr>
          <w:b/>
          <w:bCs/>
        </w:rPr>
        <w:t>4. Conclusion</w:t>
      </w:r>
    </w:p>
    <w:p w14:paraId="385B070F" w14:textId="77777777" w:rsidR="00A51EA5" w:rsidRDefault="00000000">
      <w:pPr>
        <w:jc w:val="both"/>
      </w:pPr>
      <w:r>
        <w:t xml:space="preserve">This study offers a repeated cross-sectional contrast between a 2022/23 crisis baseline and a 2025 follow-up cohort to examine how student priorities evolved from Emergency Remote Teaching conditions toward a normalized post-emergency context. The results indicate two connected shifts. First, online assessment moved from widespread dissatisfaction (88.5%) to moderate acceptance (3.2/5), suggesting that exams have become a normalized bureaucratic feature rather than the central conflict of the digital transition. Second, and more importantly for institutional strategy, the 2025 cohort reveals a polarized demand structure: students split between improving asynchronous content quality (~40%) and increasing synchronous interaction (~35%), with assessment fairness and support registering as minority priorities. </w:t>
      </w:r>
    </w:p>
    <w:p w14:paraId="172A9994" w14:textId="77777777" w:rsidR="00A51EA5" w:rsidRDefault="00000000">
      <w:pPr>
        <w:jc w:val="both"/>
      </w:pPr>
      <w:r>
        <w:t>The contribution is therefore not simply that “students are now more satisfied,” but that post-ERT student expectations have differentiated, creating a design and governance challenge for universities. Aligning with established distinctions between ERT and designed online learning (Hodges et al., 2020), the evidence suggests that the next phase is not crisis management but pedagogical optimization under heterogenous demand. The Community of Inquiry framework helps interpret this polarization as a tension between content-centered and interaction-centered definitions of quality (Garrison et al., 1999), while the synchronous/asynchronous literature clarifies that these modes serve different learning needs rather than functioning as substitutes (</w:t>
      </w:r>
      <w:proofErr w:type="spellStart"/>
      <w:r>
        <w:t>Hrastinski</w:t>
      </w:r>
      <w:proofErr w:type="spellEnd"/>
      <w:r>
        <w:t xml:space="preserve">, 2008). </w:t>
      </w:r>
    </w:p>
    <w:p w14:paraId="58526F0C" w14:textId="77777777" w:rsidR="00A51EA5" w:rsidRDefault="00000000">
      <w:pPr>
        <w:jc w:val="both"/>
      </w:pPr>
      <w:r>
        <w:t xml:space="preserve">Practically, this implies that universities should avoid one-size-fits-all policies anchored in legacy proctoring/integrity narratives and instead build capacity for mode-equivalent learning value. </w:t>
      </w:r>
      <w:proofErr w:type="spellStart"/>
      <w:r>
        <w:t>HyFlex</w:t>
      </w:r>
      <w:proofErr w:type="spellEnd"/>
      <w:r>
        <w:t xml:space="preserve"> provides a viable strategic anchor (Beatty, 2019), but only if implemented as two intentionally supported pathways rather than as “live teaching plus recordings.” </w:t>
      </w:r>
    </w:p>
    <w:p w14:paraId="6D7B069C" w14:textId="77777777" w:rsidR="00A51EA5" w:rsidRDefault="00000000">
      <w:pPr>
        <w:jc w:val="both"/>
      </w:pPr>
      <w:r>
        <w:t>Future work should validate whether the same polarization pattern holds in matched-country repeated cohorts beyond Italy/Greece, expand sample size to model predictors (e.g., discipline, work/commuting constraints), and add qualitative follow-up to specify what students concretely mean by “better recordings” and “more interactive live lessons.”</w:t>
      </w:r>
    </w:p>
    <w:p w14:paraId="23B9740D" w14:textId="77777777" w:rsidR="00A51EA5" w:rsidRDefault="00000000">
      <w:pPr>
        <w:rPr>
          <w:b/>
          <w:bCs/>
        </w:rPr>
      </w:pPr>
      <w:r>
        <w:rPr>
          <w:b/>
          <w:bCs/>
        </w:rPr>
        <w:t>Selected References</w:t>
      </w:r>
    </w:p>
    <w:p w14:paraId="1CA5E76C" w14:textId="77777777" w:rsidR="00A51EA5" w:rsidRDefault="00000000">
      <w:pPr>
        <w:numPr>
          <w:ilvl w:val="0"/>
          <w:numId w:val="2"/>
        </w:numPr>
      </w:pPr>
      <w:r>
        <w:t xml:space="preserve">Beatty, B. J. (2019). </w:t>
      </w:r>
      <w:r>
        <w:rPr>
          <w:i/>
          <w:iCs/>
        </w:rPr>
        <w:t>Hybrid-Flexible Course Design: Implementing Student-Directed Hybrid Classes</w:t>
      </w:r>
      <w:r>
        <w:t>. EdTech Books.</w:t>
      </w:r>
    </w:p>
    <w:p w14:paraId="23ABE5C4" w14:textId="77777777" w:rsidR="00A51EA5" w:rsidRDefault="00000000">
      <w:pPr>
        <w:numPr>
          <w:ilvl w:val="0"/>
          <w:numId w:val="2"/>
        </w:numPr>
      </w:pPr>
      <w:r w:rsidRPr="001C6671">
        <w:rPr>
          <w:lang w:val="it-IT"/>
        </w:rPr>
        <w:t xml:space="preserve">Di Flumeri, G., &amp; Santos, M. (2025). </w:t>
      </w:r>
      <w:r>
        <w:rPr>
          <w:i/>
          <w:iCs/>
        </w:rPr>
        <w:t>The Hidden Costs: A Focused Analysis of Faculty Views on Student Emotional Support and Financial Burdens</w:t>
      </w:r>
      <w:r>
        <w:t xml:space="preserve">. In </w:t>
      </w:r>
      <w:r>
        <w:rPr>
          <w:i/>
          <w:iCs/>
        </w:rPr>
        <w:t>Voices of the Academy</w:t>
      </w:r>
      <w:r>
        <w:t xml:space="preserve"> (Vol. 2). </w:t>
      </w:r>
      <w:proofErr w:type="spellStart"/>
      <w:r>
        <w:t>Zenodo</w:t>
      </w:r>
      <w:proofErr w:type="spellEnd"/>
      <w:r>
        <w:t>, DOI: . </w:t>
      </w:r>
    </w:p>
    <w:p w14:paraId="149A4747" w14:textId="77777777" w:rsidR="00A51EA5" w:rsidRDefault="00000000">
      <w:pPr>
        <w:numPr>
          <w:ilvl w:val="0"/>
          <w:numId w:val="2"/>
        </w:numPr>
      </w:pPr>
      <w:r>
        <w:t xml:space="preserve">Garrison, D. R., Anderson, T., &amp; Archer, W. (1999). Critical inquiry in a text-based environment: Computer conferencing in higher education. </w:t>
      </w:r>
      <w:r>
        <w:rPr>
          <w:i/>
          <w:iCs/>
        </w:rPr>
        <w:t>The Internet and Higher Education</w:t>
      </w:r>
      <w:r>
        <w:t xml:space="preserve">, 2(2-3), 87-105. </w:t>
      </w:r>
      <w:hyperlink r:id="rId8">
        <w:r>
          <w:rPr>
            <w:color w:val="0563C1"/>
            <w:u w:val="single"/>
          </w:rPr>
          <w:t>https://doi.org/10.1016/S1096-7516(00)00016-6</w:t>
        </w:r>
      </w:hyperlink>
      <w:r>
        <w:t xml:space="preserve"> </w:t>
      </w:r>
    </w:p>
    <w:p w14:paraId="7DAD35AC" w14:textId="77777777" w:rsidR="00A51EA5" w:rsidRDefault="00000000">
      <w:pPr>
        <w:numPr>
          <w:ilvl w:val="0"/>
          <w:numId w:val="2"/>
        </w:numPr>
      </w:pPr>
      <w:r>
        <w:lastRenderedPageBreak/>
        <w:t xml:space="preserve">Hodges, C., Moore, S., Lockee, B., Trust, T., &amp; Bond, A. (2020). </w:t>
      </w:r>
      <w:r>
        <w:rPr>
          <w:i/>
          <w:iCs/>
        </w:rPr>
        <w:t>The Difference Between Emergency Remote Teaching and Online Learning</w:t>
      </w:r>
      <w:r>
        <w:t xml:space="preserve">. Educause Review. </w:t>
      </w:r>
      <w:hyperlink r:id="rId9">
        <w:r>
          <w:rPr>
            <w:color w:val="0563C1"/>
            <w:u w:val="single"/>
          </w:rPr>
          <w:t>https://er.educause.edu/articles/2020/3/the-difference-between-emergency-remote-teaching-and-online-learning</w:t>
        </w:r>
      </w:hyperlink>
      <w:r>
        <w:t xml:space="preserve"> </w:t>
      </w:r>
    </w:p>
    <w:p w14:paraId="78F1013D" w14:textId="77777777" w:rsidR="00A51EA5" w:rsidRDefault="00000000">
      <w:pPr>
        <w:numPr>
          <w:ilvl w:val="0"/>
          <w:numId w:val="2"/>
        </w:numPr>
      </w:pPr>
      <w:r>
        <w:t xml:space="preserve">Hrastinski, S. (2008). Asynchronous and synchronous e-learning. </w:t>
      </w:r>
      <w:r>
        <w:rPr>
          <w:i/>
          <w:iCs/>
        </w:rPr>
        <w:t>Educause Quarterly</w:t>
      </w:r>
      <w:r>
        <w:t xml:space="preserve">, 31(4), 51-55. </w:t>
      </w:r>
      <w:hyperlink r:id="rId10">
        <w:r>
          <w:rPr>
            <w:color w:val="0563C1"/>
            <w:u w:val="single"/>
          </w:rPr>
          <w:t>https://er.educause.edu/articles/2008/11/asynchronous-and-synchronous-elearning</w:t>
        </w:r>
      </w:hyperlink>
      <w:r>
        <w:t xml:space="preserve"> </w:t>
      </w:r>
    </w:p>
    <w:p w14:paraId="50C987CE" w14:textId="77777777" w:rsidR="00A51EA5" w:rsidRDefault="00000000">
      <w:pPr>
        <w:numPr>
          <w:ilvl w:val="0"/>
          <w:numId w:val="2"/>
        </w:numPr>
      </w:pPr>
      <w:r>
        <w:t xml:space="preserve"> Martínez, F., Hernando, A., &amp; </w:t>
      </w:r>
      <w:proofErr w:type="spellStart"/>
      <w:r>
        <w:t>Grammatikou</w:t>
      </w:r>
      <w:proofErr w:type="spellEnd"/>
      <w:r>
        <w:t xml:space="preserve">, M. (2025). </w:t>
      </w:r>
      <w:r>
        <w:rPr>
          <w:i/>
          <w:iCs/>
        </w:rPr>
        <w:t>The Policy Gap: Deconstructing the 'Mediterranean Resistance' to European Digital Expectations</w:t>
      </w:r>
      <w:r>
        <w:t xml:space="preserve">. In </w:t>
      </w:r>
      <w:r>
        <w:rPr>
          <w:i/>
          <w:iCs/>
        </w:rPr>
        <w:t>Voices of the Academy</w:t>
      </w:r>
      <w:r>
        <w:t xml:space="preserve">, </w:t>
      </w:r>
      <w:proofErr w:type="spellStart"/>
      <w:r>
        <w:t>Zenodo</w:t>
      </w:r>
      <w:proofErr w:type="spellEnd"/>
      <w:r>
        <w:t>, DOI: . </w:t>
      </w:r>
    </w:p>
    <w:p w14:paraId="5E6BD369" w14:textId="77777777" w:rsidR="00A51EA5" w:rsidRDefault="00000000">
      <w:pPr>
        <w:numPr>
          <w:ilvl w:val="0"/>
          <w:numId w:val="2"/>
        </w:numPr>
      </w:pPr>
      <w:r>
        <w:t xml:space="preserve">Montanari, M., et al. (2022). </w:t>
      </w:r>
      <w:r>
        <w:rPr>
          <w:i/>
          <w:iCs/>
        </w:rPr>
        <w:t>SOULSS Survey 1: A First Analysis</w:t>
      </w:r>
      <w:r>
        <w:t>. Project Report (Deliverable 2.1) </w:t>
      </w:r>
    </w:p>
    <w:p w14:paraId="699A3A5C" w14:textId="77777777" w:rsidR="00A51EA5" w:rsidRDefault="00000000">
      <w:pPr>
        <w:numPr>
          <w:ilvl w:val="0"/>
          <w:numId w:val="2"/>
        </w:numPr>
      </w:pPr>
      <w:r>
        <w:t xml:space="preserve">Perone, S., &amp; Ronca, V. (2025). </w:t>
      </w:r>
      <w:r>
        <w:rPr>
          <w:i/>
          <w:iCs/>
        </w:rPr>
        <w:t>Tools vs. Skills: A Focused Analysis of Faculty Self-Perception</w:t>
      </w:r>
      <w:r>
        <w:t xml:space="preserve">. In </w:t>
      </w:r>
      <w:r>
        <w:rPr>
          <w:i/>
          <w:iCs/>
        </w:rPr>
        <w:t>Voices of the Academy</w:t>
      </w:r>
      <w:r>
        <w:t xml:space="preserve"> (Vol. 2). </w:t>
      </w:r>
      <w:proofErr w:type="spellStart"/>
      <w:r>
        <w:t>Aracne</w:t>
      </w:r>
      <w:proofErr w:type="spellEnd"/>
      <w:r>
        <w:t xml:space="preserve"> </w:t>
      </w:r>
      <w:proofErr w:type="spellStart"/>
      <w:r>
        <w:t>Editrice</w:t>
      </w:r>
      <w:proofErr w:type="spellEnd"/>
      <w:r>
        <w:t>.</w:t>
      </w:r>
    </w:p>
    <w:sectPr w:rsidR="00A51EA5">
      <w:headerReference w:type="default" r:id="rId11"/>
      <w:footerReference w:type="default" r:id="rId12"/>
      <w:pgSz w:w="11906" w:h="16838"/>
      <w:pgMar w:top="1417"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7BEB66" w14:textId="77777777" w:rsidR="00272931" w:rsidRDefault="00272931" w:rsidP="001C6671">
      <w:pPr>
        <w:spacing w:after="0" w:line="240" w:lineRule="auto"/>
      </w:pPr>
      <w:r>
        <w:separator/>
      </w:r>
    </w:p>
  </w:endnote>
  <w:endnote w:type="continuationSeparator" w:id="0">
    <w:p w14:paraId="4EDF2421" w14:textId="77777777" w:rsidR="00272931" w:rsidRDefault="00272931" w:rsidP="001C66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75A9AD37-A1C4-4793-A0E2-B6F35D09AC0C}"/>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225CE7C6-F34D-4312-B5DA-45A85492A212}"/>
    <w:embedBold r:id="rId3" w:fontKey="{F5FEE482-66C1-4AB6-93D5-12AF1F34ED48}"/>
    <w:embedItalic r:id="rId4" w:fontKey="{8DE7046F-8F21-47CC-B83A-571D95372792}"/>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5" w:fontKey="{C22F0A05-CC02-4189-9788-5EA7FC2E03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4566A" w14:textId="77777777" w:rsidR="001C6671" w:rsidRPr="001C6671" w:rsidRDefault="001C6671" w:rsidP="001C6671">
    <w:pPr>
      <w:tabs>
        <w:tab w:val="center" w:pos="4819"/>
        <w:tab w:val="right" w:pos="9638"/>
      </w:tabs>
      <w:spacing w:after="0" w:line="240" w:lineRule="auto"/>
      <w:jc w:val="both"/>
      <w:rPr>
        <w:rFonts w:asciiTheme="minorHAnsi" w:eastAsiaTheme="minorEastAsia" w:hAnsiTheme="minorHAnsi" w:cstheme="minorBidi"/>
        <w:i/>
        <w:iCs/>
        <w:kern w:val="2"/>
        <w:lang w:val="en-US" w:eastAsia="ja-JP"/>
        <w14:ligatures w14:val="standardContextual"/>
      </w:rPr>
    </w:pPr>
    <w:r w:rsidRPr="001C6671">
      <w:rPr>
        <w:rFonts w:asciiTheme="minorHAnsi" w:eastAsiaTheme="minorEastAsia" w:hAnsiTheme="minorHAnsi" w:cstheme="minorBidi"/>
        <w:i/>
        <w:iCs/>
        <w:kern w:val="2"/>
        <w:lang w:val="en-US" w:eastAsia="ja-JP"/>
        <w14:ligatures w14:val="standardContextual"/>
      </w:rPr>
      <w:t>Funded by the European Union. Views and opinions expressed are however those of the author(s) only and do not necessarily reflect those of the European Union or the European Education and Culture Executive Agency (EACEA). Neither the European Union nor the granting authority can be held responsible for them.</w:t>
    </w:r>
  </w:p>
  <w:p w14:paraId="5373FCF8" w14:textId="77777777" w:rsidR="001C6671" w:rsidRPr="001C6671" w:rsidRDefault="001C6671" w:rsidP="001C6671">
    <w:pPr>
      <w:tabs>
        <w:tab w:val="center" w:pos="4819"/>
        <w:tab w:val="right" w:pos="9638"/>
      </w:tabs>
      <w:spacing w:after="0" w:line="240" w:lineRule="auto"/>
      <w:jc w:val="both"/>
      <w:rPr>
        <w:rFonts w:asciiTheme="minorHAnsi" w:eastAsiaTheme="minorEastAsia" w:hAnsiTheme="minorHAnsi" w:cstheme="minorBidi"/>
        <w:i/>
        <w:iCs/>
        <w:kern w:val="2"/>
        <w:lang w:val="en-US" w:eastAsia="ja-JP"/>
        <w14:ligatures w14:val="standardContextual"/>
      </w:rPr>
    </w:pPr>
  </w:p>
  <w:p w14:paraId="23BC957B" w14:textId="77777777" w:rsidR="001C6671" w:rsidRPr="001C6671" w:rsidRDefault="001C6671" w:rsidP="001C6671">
    <w:pPr>
      <w:tabs>
        <w:tab w:val="center" w:pos="4819"/>
        <w:tab w:val="right" w:pos="9638"/>
      </w:tabs>
      <w:spacing w:after="0" w:line="240" w:lineRule="auto"/>
      <w:jc w:val="center"/>
      <w:rPr>
        <w:rFonts w:asciiTheme="minorHAnsi" w:eastAsiaTheme="minorHAnsi" w:hAnsiTheme="minorHAnsi" w:cstheme="minorBidi"/>
        <w:lang w:val="es-ES" w:eastAsia="en-US"/>
        <w14:ligatures w14:val="standardContextual"/>
      </w:rPr>
    </w:pPr>
    <w:r w:rsidRPr="001C6671">
      <w:rPr>
        <w:rFonts w:asciiTheme="minorHAnsi" w:eastAsiaTheme="minorEastAsia" w:hAnsiTheme="minorHAnsi" w:cstheme="minorBidi"/>
        <w:noProof/>
        <w:kern w:val="2"/>
        <w:lang w:val="en-US" w:eastAsia="ja-JP"/>
        <w14:ligatures w14:val="standardContextual"/>
      </w:rPr>
      <mc:AlternateContent>
        <mc:Choice Requires="wpg">
          <w:drawing>
            <wp:inline distT="0" distB="0" distL="0" distR="0" wp14:anchorId="14BF4BEE" wp14:editId="09D09E70">
              <wp:extent cx="419100" cy="321945"/>
              <wp:effectExtent l="0" t="19050" r="0" b="11430"/>
              <wp:docPr id="1692382050" name="Grup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100" cy="321945"/>
                        <a:chOff x="1731" y="14550"/>
                        <a:chExt cx="660" cy="507"/>
                      </a:xfrm>
                    </wpg:grpSpPr>
                    <wps:wsp>
                      <wps:cNvPr id="224971196" name="AutoShape 2"/>
                      <wps:cNvSpPr>
                        <a:spLocks noChangeArrowheads="1"/>
                      </wps:cNvSpPr>
                      <wps:spPr bwMode="auto">
                        <a:xfrm>
                          <a:off x="1793" y="14550"/>
                          <a:ext cx="536" cy="507"/>
                        </a:xfrm>
                        <a:prstGeom prst="diamond">
                          <a:avLst/>
                        </a:prstGeom>
                        <a:noFill/>
                        <a:ln w="9525">
                          <a:solidFill>
                            <a:srgbClr val="A5A5A5"/>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7516743" name="Rectangle 3"/>
                      <wps:cNvSpPr>
                        <a:spLocks noChangeArrowheads="1"/>
                      </wps:cNvSpPr>
                      <wps:spPr bwMode="auto">
                        <a:xfrm>
                          <a:off x="1848" y="14616"/>
                          <a:ext cx="427" cy="375"/>
                        </a:xfrm>
                        <a:prstGeom prst="rect">
                          <a:avLst/>
                        </a:prstGeom>
                        <a:noFill/>
                        <a:ln w="9525">
                          <a:solidFill>
                            <a:srgbClr val="A5A5A5"/>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320756" name="Text Box 5"/>
                      <wps:cNvSpPr txBox="1">
                        <a:spLocks noChangeArrowheads="1"/>
                      </wps:cNvSpPr>
                      <wps:spPr bwMode="auto">
                        <a:xfrm>
                          <a:off x="1731" y="14639"/>
                          <a:ext cx="660"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4877FB" w14:textId="77777777" w:rsidR="001C6671" w:rsidRDefault="001C6671" w:rsidP="001C6671">
                            <w:pPr>
                              <w:spacing w:after="0" w:line="240" w:lineRule="auto"/>
                              <w:jc w:val="center"/>
                              <w:rPr>
                                <w:color w:val="323E4F" w:themeColor="text2" w:themeShade="BF"/>
                                <w:sz w:val="16"/>
                                <w:szCs w:val="16"/>
                              </w:rPr>
                            </w:pPr>
                            <w:r>
                              <w:fldChar w:fldCharType="begin"/>
                            </w:r>
                            <w:r>
                              <w:instrText>PAGE   \* MERGEFORMAT</w:instrText>
                            </w:r>
                            <w:r>
                              <w:fldChar w:fldCharType="separate"/>
                            </w:r>
                            <w:r>
                              <w:rPr>
                                <w:color w:val="323E4F" w:themeColor="text2" w:themeShade="BF"/>
                                <w:sz w:val="16"/>
                                <w:szCs w:val="16"/>
                              </w:rPr>
                              <w:t>1</w:t>
                            </w:r>
                            <w:r>
                              <w:rPr>
                                <w:color w:val="323E4F" w:themeColor="text2" w:themeShade="BF"/>
                                <w:sz w:val="16"/>
                                <w:szCs w:val="16"/>
                              </w:rPr>
                              <w:fldChar w:fldCharType="end"/>
                            </w:r>
                          </w:p>
                        </w:txbxContent>
                      </wps:txbx>
                      <wps:bodyPr rot="0" vert="horz" wrap="square" lIns="0" tIns="27432" rIns="0" bIns="0" anchor="t" anchorCtr="0" upright="1">
                        <a:noAutofit/>
                      </wps:bodyPr>
                    </wps:wsp>
                    <wpg:grpSp>
                      <wpg:cNvPr id="996408122" name="Group 5"/>
                      <wpg:cNvGrpSpPr>
                        <a:grpSpLocks/>
                      </wpg:cNvGrpSpPr>
                      <wpg:grpSpPr bwMode="auto">
                        <a:xfrm>
                          <a:off x="1775" y="14647"/>
                          <a:ext cx="571" cy="314"/>
                          <a:chOff x="1705" y="14935"/>
                          <a:chExt cx="682" cy="375"/>
                        </a:xfrm>
                      </wpg:grpSpPr>
                      <wps:wsp>
                        <wps:cNvPr id="1824707279" name="AutoShape 7"/>
                        <wps:cNvSpPr>
                          <a:spLocks noChangeArrowheads="1"/>
                        </wps:cNvSpPr>
                        <wps:spPr bwMode="auto">
                          <a:xfrm rot="-5400000">
                            <a:off x="1782" y="14858"/>
                            <a:ext cx="375" cy="530"/>
                          </a:xfrm>
                          <a:custGeom>
                            <a:avLst/>
                            <a:gdLst>
                              <a:gd name="T0" fmla="*/ 328 w 21600"/>
                              <a:gd name="T1" fmla="*/ 265 h 21600"/>
                              <a:gd name="T2" fmla="*/ 188 w 21600"/>
                              <a:gd name="T3" fmla="*/ 530 h 21600"/>
                              <a:gd name="T4" fmla="*/ 47 w 21600"/>
                              <a:gd name="T5" fmla="*/ 265 h 21600"/>
                              <a:gd name="T6" fmla="*/ 188 w 21600"/>
                              <a:gd name="T7" fmla="*/ 0 h 21600"/>
                              <a:gd name="T8" fmla="*/ 0 60000 65536"/>
                              <a:gd name="T9" fmla="*/ 0 60000 65536"/>
                              <a:gd name="T10" fmla="*/ 0 60000 65536"/>
                              <a:gd name="T11" fmla="*/ 0 60000 65536"/>
                              <a:gd name="T12" fmla="*/ 4493 w 21600"/>
                              <a:gd name="T13" fmla="*/ 4483 h 21600"/>
                              <a:gd name="T14" fmla="*/ 17107 w 21600"/>
                              <a:gd name="T15" fmla="*/ 17117 h 21600"/>
                            </a:gdLst>
                            <a:ahLst/>
                            <a:cxnLst>
                              <a:cxn ang="T8">
                                <a:pos x="T0" y="T1"/>
                              </a:cxn>
                              <a:cxn ang="T9">
                                <a:pos x="T2" y="T3"/>
                              </a:cxn>
                              <a:cxn ang="T10">
                                <a:pos x="T4" y="T5"/>
                              </a:cxn>
                              <a:cxn ang="T11">
                                <a:pos x="T6" y="T7"/>
                              </a:cxn>
                            </a:cxnLst>
                            <a:rect l="T12" t="T13" r="T14" b="T15"/>
                            <a:pathLst>
                              <a:path w="21600" h="21600">
                                <a:moveTo>
                                  <a:pt x="0" y="0"/>
                                </a:moveTo>
                                <a:lnTo>
                                  <a:pt x="5400" y="21600"/>
                                </a:lnTo>
                                <a:lnTo>
                                  <a:pt x="16200" y="21600"/>
                                </a:lnTo>
                                <a:lnTo>
                                  <a:pt x="21600" y="0"/>
                                </a:lnTo>
                                <a:lnTo>
                                  <a:pt x="0" y="0"/>
                                </a:lnTo>
                                <a:close/>
                              </a:path>
                            </a:pathLst>
                          </a:custGeom>
                          <a:noFill/>
                          <a:ln w="9525">
                            <a:solidFill>
                              <a:srgbClr val="A5A5A5"/>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7173837" name="AutoShape 8"/>
                        <wps:cNvSpPr>
                          <a:spLocks noChangeArrowheads="1"/>
                        </wps:cNvSpPr>
                        <wps:spPr bwMode="auto">
                          <a:xfrm rot="5400000" flipH="1">
                            <a:off x="1934" y="14858"/>
                            <a:ext cx="375" cy="530"/>
                          </a:xfrm>
                          <a:custGeom>
                            <a:avLst/>
                            <a:gdLst>
                              <a:gd name="T0" fmla="*/ 328 w 21600"/>
                              <a:gd name="T1" fmla="*/ 265 h 21600"/>
                              <a:gd name="T2" fmla="*/ 188 w 21600"/>
                              <a:gd name="T3" fmla="*/ 530 h 21600"/>
                              <a:gd name="T4" fmla="*/ 47 w 21600"/>
                              <a:gd name="T5" fmla="*/ 265 h 21600"/>
                              <a:gd name="T6" fmla="*/ 188 w 21600"/>
                              <a:gd name="T7" fmla="*/ 0 h 21600"/>
                              <a:gd name="T8" fmla="*/ 0 60000 65536"/>
                              <a:gd name="T9" fmla="*/ 0 60000 65536"/>
                              <a:gd name="T10" fmla="*/ 0 60000 65536"/>
                              <a:gd name="T11" fmla="*/ 0 60000 65536"/>
                              <a:gd name="T12" fmla="*/ 4493 w 21600"/>
                              <a:gd name="T13" fmla="*/ 4483 h 21600"/>
                              <a:gd name="T14" fmla="*/ 17107 w 21600"/>
                              <a:gd name="T15" fmla="*/ 17117 h 21600"/>
                            </a:gdLst>
                            <a:ahLst/>
                            <a:cxnLst>
                              <a:cxn ang="T8">
                                <a:pos x="T0" y="T1"/>
                              </a:cxn>
                              <a:cxn ang="T9">
                                <a:pos x="T2" y="T3"/>
                              </a:cxn>
                              <a:cxn ang="T10">
                                <a:pos x="T4" y="T5"/>
                              </a:cxn>
                              <a:cxn ang="T11">
                                <a:pos x="T6" y="T7"/>
                              </a:cxn>
                            </a:cxnLst>
                            <a:rect l="T12" t="T13" r="T14" b="T15"/>
                            <a:pathLst>
                              <a:path w="21600" h="21600">
                                <a:moveTo>
                                  <a:pt x="0" y="0"/>
                                </a:moveTo>
                                <a:lnTo>
                                  <a:pt x="5400" y="21600"/>
                                </a:lnTo>
                                <a:lnTo>
                                  <a:pt x="16200" y="21600"/>
                                </a:lnTo>
                                <a:lnTo>
                                  <a:pt x="21600" y="0"/>
                                </a:lnTo>
                                <a:lnTo>
                                  <a:pt x="0" y="0"/>
                                </a:lnTo>
                                <a:close/>
                              </a:path>
                            </a:pathLst>
                          </a:custGeom>
                          <a:noFill/>
                          <a:ln w="9525">
                            <a:solidFill>
                              <a:srgbClr val="A5A5A5"/>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14BF4BEE" id="Gruppo 2" o:spid="_x0000_s1026" style="width:33pt;height:25.35pt;mso-position-horizontal-relative:char;mso-position-vertical-relative:line" coordorigin="1731,14550" coordsize="660,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">
              <v:shapetype id="_x0000_t4" coordsize="21600,21600" o:spt="4" path="m10800,l,10800,10800,21600,21600,10800xe">
                <v:stroke joinstyle="miter"/>
                <v:path gradientshapeok="t" o:connecttype="rect" textboxrect="5400,5400,16200,16200"/>
              </v:shapetype>
              <v:shape id="AutoShape 2" o:spid="_x0000_s1027" type="#_x0000_t4" style="position:absolute;left:1793;top:14550;width:536;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" filled="f" strokecolor="#a5a5a5"/>
              <v:rect id="Rectangle 3" o:spid="_x0000_s1028" style="position:absolute;left:1848;top:14616;width:427;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" filled="f" strokecolor="#a5a5a5"/>
              <v:shapetype id="_x0000_t202" coordsize="21600,21600" o:spt="202" path="m,l,21600r21600,l21600,xe">
                <v:stroke joinstyle="miter"/>
                <v:path gradientshapeok="t" o:connecttype="rect"/>
              </v:shapetype>
              <v:shape id="Text Box 5" o:spid="_x0000_s1029" type="#_x0000_t202" style="position:absolute;left:1731;top:14639;width:66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" filled="f" stroked="f">
                <v:textbox inset="0,2.16pt,0,0">
                  <w:txbxContent>
                    <w:p w14:paraId="404877FB" w14:textId="77777777" w:rsidR="001C6671" w:rsidRDefault="001C6671" w:rsidP="001C6671">
                      <w:pPr>
                        <w:spacing w:after="0" w:line="240" w:lineRule="auto"/>
                        <w:jc w:val="center"/>
                        <w:rPr>
                          <w:color w:val="323E4F" w:themeColor="text2" w:themeShade="BF"/>
                          <w:sz w:val="16"/>
                          <w:szCs w:val="16"/>
                        </w:rPr>
                      </w:pPr>
                      <w:r>
                        <w:fldChar w:fldCharType="begin"/>
                      </w:r>
                      <w:r>
                        <w:instrText>PAGE   \* MERGEFORMAT</w:instrText>
                      </w:r>
                      <w:r>
                        <w:fldChar w:fldCharType="separate"/>
                      </w:r>
                      <w:r>
                        <w:rPr>
                          <w:color w:val="323E4F" w:themeColor="text2" w:themeShade="BF"/>
                          <w:sz w:val="16"/>
                          <w:szCs w:val="16"/>
                        </w:rPr>
                        <w:t>1</w:t>
                      </w:r>
                      <w:r>
                        <w:rPr>
                          <w:color w:val="323E4F" w:themeColor="text2" w:themeShade="BF"/>
                          <w:sz w:val="16"/>
                          <w:szCs w:val="16"/>
                        </w:rPr>
                        <w:fldChar w:fldCharType="end"/>
                      </w:r>
                    </w:p>
                  </w:txbxContent>
                </v:textbox>
              </v:shape>
              <v:group id="Group 5" o:spid="_x0000_s1030" style="position:absolute;left:1775;top:14647;width:571;height:314" coordorigin="1705,14935" coordsize="682,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">
                <v:shape id="AutoShape 7" o:spid="_x0000_s1031" style="position:absolute;left:1782;top:14858;width:375;height:530;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" path="m,l5400,21600r10800,l21600,,,xe" filled="f" strokecolor="#a5a5a5">
                  <v:stroke joinstyle="miter"/>
                  <v:path o:connecttype="custom" o:connectlocs="6,7;3,13;1,7;3,0" o:connectangles="0,0,0,0" textboxrect="4493,4483,17107,17117"/>
                </v:shape>
                <v:shape id="AutoShape 8" o:spid="_x0000_s1032" style="position:absolute;left:1934;top:14858;width:375;height:530;rotation:-90;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" path="m,l5400,21600r10800,l21600,,,xe" filled="f" strokecolor="#a5a5a5">
                  <v:stroke joinstyle="miter"/>
                  <v:path o:connecttype="custom" o:connectlocs="6,7;3,13;1,7;3,0" o:connectangles="0,0,0,0" textboxrect="4493,4483,17107,17117"/>
                </v:shape>
              </v:group>
              <w10:anchorlock/>
            </v:group>
          </w:pict>
        </mc:Fallback>
      </mc:AlternateContent>
    </w:r>
  </w:p>
  <w:p w14:paraId="79791799" w14:textId="77777777" w:rsidR="001C6671" w:rsidRDefault="001C667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65AC6E" w14:textId="77777777" w:rsidR="00272931" w:rsidRDefault="00272931" w:rsidP="001C6671">
      <w:pPr>
        <w:spacing w:after="0" w:line="240" w:lineRule="auto"/>
      </w:pPr>
      <w:r>
        <w:separator/>
      </w:r>
    </w:p>
  </w:footnote>
  <w:footnote w:type="continuationSeparator" w:id="0">
    <w:p w14:paraId="624C9FAE" w14:textId="77777777" w:rsidR="00272931" w:rsidRDefault="00272931" w:rsidP="001C66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34957D" w14:textId="77777777" w:rsidR="001C6671" w:rsidRPr="001C6671" w:rsidRDefault="001C6671" w:rsidP="001C6671">
    <w:pPr>
      <w:tabs>
        <w:tab w:val="center" w:pos="4819"/>
        <w:tab w:val="right" w:pos="9638"/>
      </w:tabs>
      <w:spacing w:after="0" w:line="240" w:lineRule="auto"/>
      <w:jc w:val="both"/>
      <w:rPr>
        <w:rFonts w:asciiTheme="minorHAnsi" w:eastAsiaTheme="minorEastAsia" w:hAnsiTheme="minorHAnsi" w:cstheme="minorBidi"/>
        <w:kern w:val="2"/>
        <w:lang w:val="en-US" w:eastAsia="ja-JP"/>
        <w14:ligatures w14:val="standardContextual"/>
      </w:rPr>
    </w:pPr>
    <w:r w:rsidRPr="001C6671">
      <w:rPr>
        <w:rFonts w:asciiTheme="minorHAnsi" w:eastAsiaTheme="minorEastAsia" w:hAnsiTheme="minorHAnsi" w:cstheme="minorBidi"/>
        <w:b/>
        <w:bCs/>
        <w:noProof/>
        <w:kern w:val="2"/>
        <w:lang w:val="it-IT" w:eastAsia="ja-JP"/>
        <w14:ligatures w14:val="standardContextual"/>
      </w:rPr>
      <w:drawing>
        <wp:inline distT="0" distB="0" distL="0" distR="0" wp14:anchorId="78006F78" wp14:editId="43C1420F">
          <wp:extent cx="2038350" cy="454706"/>
          <wp:effectExtent l="0" t="0" r="0" b="2540"/>
          <wp:docPr id="1729430928" name="Immagine 1" descr="Immagine che contiene schermata, Carattere, Blu elettrico, Blu intens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430928" name="Immagine 1" descr="Immagine che contiene schermata, Carattere, Blu elettrico, Blu intenso&#10;&#10;Il contenuto generato dall'IA potrebbe non essere corretto."/>
                  <pic:cNvPicPr/>
                </pic:nvPicPr>
                <pic:blipFill>
                  <a:blip r:embed="rId1">
                    <a:extLst>
                      <a:ext uri="{28A0092B-C50C-407E-A947-70E740481C1C}">
                        <a14:useLocalDpi xmlns:a14="http://schemas.microsoft.com/office/drawing/2010/main" val="0"/>
                      </a:ext>
                    </a:extLst>
                  </a:blip>
                  <a:stretch>
                    <a:fillRect/>
                  </a:stretch>
                </pic:blipFill>
                <pic:spPr>
                  <a:xfrm>
                    <a:off x="0" y="0"/>
                    <a:ext cx="2095991" cy="467564"/>
                  </a:xfrm>
                  <a:prstGeom prst="rect">
                    <a:avLst/>
                  </a:prstGeom>
                </pic:spPr>
              </pic:pic>
            </a:graphicData>
          </a:graphic>
        </wp:inline>
      </w:drawing>
    </w:r>
    <w:r w:rsidRPr="001C6671">
      <w:rPr>
        <w:rFonts w:asciiTheme="minorHAnsi" w:eastAsiaTheme="minorEastAsia" w:hAnsiTheme="minorHAnsi" w:cstheme="minorBidi"/>
        <w:b/>
        <w:bCs/>
        <w:noProof/>
        <w:kern w:val="2"/>
        <w:lang w:val="en-US" w:eastAsia="ja-JP"/>
        <w14:ligatures w14:val="standardContextual"/>
      </w:rPr>
      <w:t xml:space="preserve"> </w:t>
    </w:r>
    <w:r w:rsidRPr="001C6671">
      <w:rPr>
        <w:rFonts w:asciiTheme="minorHAnsi" w:eastAsiaTheme="minorEastAsia" w:hAnsiTheme="minorHAnsi" w:cstheme="minorBidi"/>
        <w:b/>
        <w:bCs/>
        <w:noProof/>
        <w:kern w:val="2"/>
        <w:lang w:val="en-US" w:eastAsia="ja-JP"/>
        <w14:ligatures w14:val="standardContextual"/>
      </w:rPr>
      <w:tab/>
    </w:r>
    <w:r w:rsidRPr="001C6671">
      <w:rPr>
        <w:rFonts w:asciiTheme="minorHAnsi" w:eastAsiaTheme="minorEastAsia" w:hAnsiTheme="minorHAnsi" w:cstheme="minorBidi"/>
        <w:b/>
        <w:bCs/>
        <w:noProof/>
        <w:kern w:val="2"/>
        <w:lang w:val="en-US" w:eastAsia="ja-JP"/>
        <w14:ligatures w14:val="standardContextual"/>
      </w:rPr>
      <w:tab/>
      <w:t xml:space="preserve"> </w:t>
    </w:r>
    <w:r w:rsidRPr="001C6671">
      <w:rPr>
        <w:rFonts w:asciiTheme="minorHAnsi" w:eastAsiaTheme="minorEastAsia" w:hAnsiTheme="minorHAnsi" w:cstheme="minorBidi"/>
        <w:noProof/>
        <w:kern w:val="2"/>
        <w:lang w:val="it-IT" w:eastAsia="ja-JP"/>
        <w14:ligatures w14:val="standardContextual"/>
      </w:rPr>
      <w:drawing>
        <wp:inline distT="0" distB="0" distL="0" distR="0" wp14:anchorId="68100FD7" wp14:editId="4B3C9581">
          <wp:extent cx="1238250" cy="304800"/>
          <wp:effectExtent l="0" t="0" r="0" b="0"/>
          <wp:docPr id="1496414564" name="Elemento grafic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170955" name="Elemento grafico 291170955"/>
                  <pic:cNvPicPr/>
                </pic:nvPicPr>
                <pic:blipFill>
                  <a:blip r:embed="rId2">
                    <a:extLst>
                      <a:ext uri="{96DAC541-7B7A-43D3-8B79-37D633B846F1}">
                        <asvg:svgBlip xmlns:asvg="http://schemas.microsoft.com/office/drawing/2016/SVG/main" r:embed="rId3"/>
                      </a:ext>
                    </a:extLst>
                  </a:blip>
                  <a:stretch>
                    <a:fillRect/>
                  </a:stretch>
                </pic:blipFill>
                <pic:spPr>
                  <a:xfrm>
                    <a:off x="0" y="0"/>
                    <a:ext cx="1238250" cy="304800"/>
                  </a:xfrm>
                  <a:prstGeom prst="rect">
                    <a:avLst/>
                  </a:prstGeom>
                </pic:spPr>
              </pic:pic>
            </a:graphicData>
          </a:graphic>
        </wp:inline>
      </w:drawing>
    </w:r>
  </w:p>
  <w:p w14:paraId="2057DC64" w14:textId="68DD9023" w:rsidR="001C6671" w:rsidRPr="001C6671" w:rsidRDefault="001C6671" w:rsidP="001C6671">
    <w:pPr>
      <w:tabs>
        <w:tab w:val="center" w:pos="4819"/>
        <w:tab w:val="right" w:pos="9638"/>
      </w:tabs>
      <w:spacing w:after="0" w:line="240" w:lineRule="auto"/>
      <w:rPr>
        <w:rFonts w:asciiTheme="minorHAnsi" w:eastAsiaTheme="minorHAnsi" w:hAnsiTheme="minorHAnsi" w:cstheme="minorBidi"/>
        <w:lang w:val="en-US" w:eastAsia="en-US"/>
        <w14:ligatures w14:val="standardContextual"/>
      </w:rPr>
    </w:pPr>
    <w:r w:rsidRPr="001C6671">
      <w:rPr>
        <w:rFonts w:asciiTheme="minorHAnsi" w:eastAsiaTheme="minorEastAsia" w:hAnsiTheme="minorHAnsi" w:cstheme="minorBidi"/>
        <w:b/>
        <w:bCs/>
        <w:kern w:val="2"/>
        <w:lang w:val="en-US" w:eastAsia="ja-JP"/>
        <w14:ligatures w14:val="standardContextual"/>
      </w:rPr>
      <w:t>2022-1-IT02-KA220-HED-000090206</w:t>
    </w:r>
    <w:r w:rsidRPr="001C6671">
      <w:rPr>
        <w:rFonts w:asciiTheme="minorHAnsi" w:eastAsiaTheme="minorEastAsia" w:hAnsiTheme="minorHAnsi" w:cstheme="minorBidi"/>
        <w:b/>
        <w:bCs/>
        <w:kern w:val="2"/>
        <w:lang w:val="en-US" w:eastAsia="ja-JP"/>
        <w14:ligatures w14:val="standardContextual"/>
      </w:rPr>
      <w:tab/>
      <w:t xml:space="preserve">                                                 </w:t>
    </w:r>
    <w:hyperlink r:id="rId4" w:history="1">
      <w:r w:rsidR="00F2724A" w:rsidRPr="006C022A">
        <w:rPr>
          <w:rStyle w:val="Hipervnculo"/>
          <w:rFonts w:asciiTheme="minorHAnsi" w:eastAsiaTheme="minorEastAsia" w:hAnsiTheme="minorHAnsi" w:cstheme="minorBidi"/>
          <w:b/>
          <w:bCs/>
          <w:kern w:val="2"/>
          <w:lang w:val="en-US" w:eastAsia="ja-JP"/>
          <w14:ligatures w14:val="standardContextual"/>
        </w:rPr>
        <w:t>https://doi.org/10.5281/zenodo.18406475</w:t>
      </w:r>
    </w:hyperlink>
  </w:p>
  <w:p w14:paraId="65AEA518" w14:textId="77777777" w:rsidR="001C6671" w:rsidRPr="001C6671" w:rsidRDefault="001C6671" w:rsidP="001C6671">
    <w:pPr>
      <w:tabs>
        <w:tab w:val="center" w:pos="4819"/>
        <w:tab w:val="right" w:pos="9638"/>
      </w:tabs>
      <w:spacing w:after="0" w:line="240" w:lineRule="auto"/>
      <w:rPr>
        <w:rFonts w:asciiTheme="minorHAnsi" w:eastAsiaTheme="minorHAnsi" w:hAnsiTheme="minorHAnsi" w:cstheme="minorBidi"/>
        <w:lang w:val="en-US" w:eastAsia="en-US"/>
        <w14:ligatures w14:val="standardContextual"/>
      </w:rPr>
    </w:pPr>
  </w:p>
  <w:p w14:paraId="5876EFD8" w14:textId="77777777" w:rsidR="001C6671" w:rsidRPr="001C6671" w:rsidRDefault="001C6671" w:rsidP="001C6671">
    <w:pPr>
      <w:pStyle w:val="Encabezado"/>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783698"/>
    <w:multiLevelType w:val="multilevel"/>
    <w:tmpl w:val="64544BC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2C296273"/>
    <w:multiLevelType w:val="multilevel"/>
    <w:tmpl w:val="336AF6E4"/>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42F57717"/>
    <w:multiLevelType w:val="multilevel"/>
    <w:tmpl w:val="18A4BC8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6E3543DD"/>
    <w:multiLevelType w:val="multilevel"/>
    <w:tmpl w:val="F2FEB6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902643061">
    <w:abstractNumId w:val="3"/>
  </w:num>
  <w:num w:numId="2" w16cid:durableId="1985624989">
    <w:abstractNumId w:val="0"/>
  </w:num>
  <w:num w:numId="3" w16cid:durableId="878662644">
    <w:abstractNumId w:val="2"/>
  </w:num>
  <w:num w:numId="4" w16cid:durableId="91528026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1EA5"/>
    <w:rsid w:val="001C6671"/>
    <w:rsid w:val="00272931"/>
    <w:rsid w:val="00767E75"/>
    <w:rsid w:val="00A51EA5"/>
    <w:rsid w:val="00F2724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4C0A98"/>
  <w15:docId w15:val="{C8B2A8F7-B585-4195-9504-A21CFBB418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s-E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color w:val="2F5496"/>
      <w:sz w:val="40"/>
      <w:szCs w:val="40"/>
    </w:rPr>
  </w:style>
  <w:style w:type="paragraph" w:styleId="Ttulo2">
    <w:name w:val="heading 2"/>
    <w:basedOn w:val="Normal"/>
    <w:next w:val="Normal"/>
    <w:uiPriority w:val="9"/>
    <w:semiHidden/>
    <w:unhideWhenUsed/>
    <w:qFormat/>
    <w:pPr>
      <w:keepNext/>
      <w:keepLines/>
      <w:spacing w:before="160" w:after="80"/>
      <w:outlineLvl w:val="1"/>
    </w:pPr>
    <w:rPr>
      <w:color w:val="2F5496"/>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2F5496"/>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2F5496"/>
    </w:rPr>
  </w:style>
  <w:style w:type="paragraph" w:styleId="Ttulo5">
    <w:name w:val="heading 5"/>
    <w:basedOn w:val="Normal"/>
    <w:next w:val="Normal"/>
    <w:uiPriority w:val="9"/>
    <w:semiHidden/>
    <w:unhideWhenUsed/>
    <w:qFormat/>
    <w:pPr>
      <w:keepNext/>
      <w:keepLines/>
      <w:spacing w:before="80" w:after="40"/>
      <w:outlineLvl w:val="4"/>
    </w:pPr>
    <w:rPr>
      <w:color w:val="2F5496"/>
    </w:rPr>
  </w:style>
  <w:style w:type="paragraph" w:styleId="Ttulo6">
    <w:name w:val="heading 6"/>
    <w:basedOn w:val="Normal"/>
    <w:next w:val="Normal"/>
    <w:uiPriority w:val="9"/>
    <w:semiHidden/>
    <w:unhideWhenUsed/>
    <w:qFormat/>
    <w:pPr>
      <w:keepNext/>
      <w:keepLines/>
      <w:spacing w:before="40" w:after="0"/>
      <w:outlineLvl w:val="5"/>
    </w:pPr>
    <w:rPr>
      <w:i/>
      <w:iCs/>
      <w:color w:val="595959"/>
    </w:rPr>
  </w:style>
  <w:style w:type="paragraph" w:styleId="Ttulo7">
    <w:name w:val="heading 7"/>
    <w:link w:val="Ttulo7Car"/>
    <w:uiPriority w:val="9"/>
    <w:semiHidden/>
    <w:unhideWhenUsed/>
    <w:qFormat/>
    <w:rsid w:val="004A5A43"/>
    <w:pPr>
      <w:keepNext/>
      <w:keepLines/>
      <w:spacing w:before="40" w:after="0"/>
      <w:outlineLvl w:val="6"/>
    </w:pPr>
    <w:rPr>
      <w:rFonts w:eastAsiaTheme="majorEastAsia" w:cstheme="majorBidi"/>
      <w:color w:val="595959" w:themeColor="text1" w:themeTint="A6"/>
    </w:rPr>
  </w:style>
  <w:style w:type="paragraph" w:styleId="Ttulo8">
    <w:name w:val="heading 8"/>
    <w:link w:val="Ttulo8Car"/>
    <w:uiPriority w:val="9"/>
    <w:semiHidden/>
    <w:unhideWhenUsed/>
    <w:qFormat/>
    <w:rsid w:val="004A5A43"/>
    <w:pPr>
      <w:keepNext/>
      <w:keepLines/>
      <w:spacing w:after="0"/>
      <w:outlineLvl w:val="7"/>
    </w:pPr>
    <w:rPr>
      <w:rFonts w:eastAsiaTheme="majorEastAsia" w:cstheme="majorBidi"/>
      <w:i/>
      <w:iCs/>
      <w:color w:val="272727" w:themeColor="text1" w:themeTint="D8"/>
    </w:rPr>
  </w:style>
  <w:style w:type="paragraph" w:styleId="Ttulo9">
    <w:name w:val="heading 9"/>
    <w:link w:val="Ttulo9Car"/>
    <w:uiPriority w:val="9"/>
    <w:semiHidden/>
    <w:unhideWhenUsed/>
    <w:qFormat/>
    <w:rsid w:val="004A5A43"/>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line="240" w:lineRule="auto"/>
    </w:pPr>
    <w:rPr>
      <w:sz w:val="56"/>
      <w:szCs w:val="56"/>
    </w:rPr>
  </w:style>
  <w:style w:type="character" w:customStyle="1" w:styleId="Titolo1Carattere">
    <w:name w:val="Titolo 1 Carattere"/>
    <w:basedOn w:val="Fuentedeprrafopredeter"/>
    <w:uiPriority w:val="9"/>
    <w:rsid w:val="004A5A43"/>
    <w:rPr>
      <w:rFonts w:asciiTheme="majorHAnsi" w:eastAsiaTheme="majorEastAsia" w:hAnsiTheme="majorHAnsi" w:cstheme="majorBidi"/>
      <w:color w:val="2F5496" w:themeColor="accent1" w:themeShade="BF"/>
      <w:sz w:val="40"/>
      <w:szCs w:val="40"/>
    </w:rPr>
  </w:style>
  <w:style w:type="character" w:customStyle="1" w:styleId="Titolo2Carattere">
    <w:name w:val="Titolo 2 Carattere"/>
    <w:basedOn w:val="Fuentedeprrafopredeter"/>
    <w:uiPriority w:val="9"/>
    <w:semiHidden/>
    <w:rsid w:val="004A5A43"/>
    <w:rPr>
      <w:rFonts w:asciiTheme="majorHAnsi" w:eastAsiaTheme="majorEastAsia" w:hAnsiTheme="majorHAnsi" w:cstheme="majorBidi"/>
      <w:color w:val="2F5496" w:themeColor="accent1" w:themeShade="BF"/>
      <w:sz w:val="32"/>
      <w:szCs w:val="32"/>
    </w:rPr>
  </w:style>
  <w:style w:type="character" w:customStyle="1" w:styleId="Titolo3Carattere">
    <w:name w:val="Titolo 3 Carattere"/>
    <w:basedOn w:val="Fuentedeprrafopredeter"/>
    <w:uiPriority w:val="9"/>
    <w:semiHidden/>
    <w:rsid w:val="004A5A43"/>
    <w:rPr>
      <w:rFonts w:eastAsiaTheme="majorEastAsia" w:cstheme="majorBidi"/>
      <w:color w:val="2F5496" w:themeColor="accent1" w:themeShade="BF"/>
      <w:sz w:val="28"/>
      <w:szCs w:val="28"/>
    </w:rPr>
  </w:style>
  <w:style w:type="character" w:customStyle="1" w:styleId="Titolo4Carattere">
    <w:name w:val="Titolo 4 Carattere"/>
    <w:basedOn w:val="Fuentedeprrafopredeter"/>
    <w:uiPriority w:val="9"/>
    <w:semiHidden/>
    <w:rsid w:val="004A5A43"/>
    <w:rPr>
      <w:rFonts w:eastAsiaTheme="majorEastAsia" w:cstheme="majorBidi"/>
      <w:i/>
      <w:iCs/>
      <w:color w:val="2F5496" w:themeColor="accent1" w:themeShade="BF"/>
    </w:rPr>
  </w:style>
  <w:style w:type="character" w:customStyle="1" w:styleId="Titolo5Carattere">
    <w:name w:val="Titolo 5 Carattere"/>
    <w:basedOn w:val="Fuentedeprrafopredeter"/>
    <w:uiPriority w:val="9"/>
    <w:semiHidden/>
    <w:rsid w:val="004A5A43"/>
    <w:rPr>
      <w:rFonts w:eastAsiaTheme="majorEastAsia" w:cstheme="majorBidi"/>
      <w:color w:val="2F5496" w:themeColor="accent1" w:themeShade="BF"/>
    </w:rPr>
  </w:style>
  <w:style w:type="character" w:customStyle="1" w:styleId="Titolo6Carattere">
    <w:name w:val="Titolo 6 Carattere"/>
    <w:basedOn w:val="Fuentedeprrafopredeter"/>
    <w:uiPriority w:val="9"/>
    <w:semiHidden/>
    <w:rsid w:val="004A5A43"/>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A5A43"/>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A5A43"/>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A5A43"/>
    <w:rPr>
      <w:rFonts w:eastAsiaTheme="majorEastAsia" w:cstheme="majorBidi"/>
      <w:color w:val="272727" w:themeColor="text1" w:themeTint="D8"/>
    </w:rPr>
  </w:style>
  <w:style w:type="character" w:customStyle="1" w:styleId="TitoloCarattere">
    <w:name w:val="Titolo Carattere"/>
    <w:basedOn w:val="Fuentedeprrafopredeter"/>
    <w:uiPriority w:val="10"/>
    <w:rsid w:val="004A5A43"/>
    <w:rPr>
      <w:rFonts w:asciiTheme="majorHAnsi" w:eastAsiaTheme="majorEastAsia" w:hAnsiTheme="majorHAnsi" w:cstheme="majorBidi"/>
      <w:spacing w:val="-10"/>
      <w:kern w:val="28"/>
      <w:sz w:val="56"/>
      <w:szCs w:val="56"/>
    </w:rPr>
  </w:style>
  <w:style w:type="character" w:customStyle="1" w:styleId="SottotitoloCarattere">
    <w:name w:val="Sottotitolo Carattere"/>
    <w:basedOn w:val="Fuentedeprrafopredeter"/>
    <w:uiPriority w:val="11"/>
    <w:rsid w:val="004A5A43"/>
    <w:rPr>
      <w:rFonts w:eastAsiaTheme="majorEastAsia" w:cstheme="majorBidi"/>
      <w:color w:val="595959" w:themeColor="text1" w:themeTint="A6"/>
      <w:spacing w:val="15"/>
      <w:sz w:val="28"/>
      <w:szCs w:val="28"/>
    </w:rPr>
  </w:style>
  <w:style w:type="paragraph" w:styleId="Cita">
    <w:name w:val="Quote"/>
    <w:link w:val="CitaCar"/>
    <w:uiPriority w:val="29"/>
    <w:qFormat/>
    <w:rsid w:val="004A5A43"/>
    <w:pPr>
      <w:spacing w:before="160"/>
      <w:jc w:val="center"/>
    </w:pPr>
    <w:rPr>
      <w:i/>
      <w:iCs/>
      <w:color w:val="404040" w:themeColor="text1" w:themeTint="BF"/>
    </w:rPr>
  </w:style>
  <w:style w:type="character" w:customStyle="1" w:styleId="CitaCar">
    <w:name w:val="Cita Car"/>
    <w:basedOn w:val="Fuentedeprrafopredeter"/>
    <w:link w:val="Cita"/>
    <w:uiPriority w:val="29"/>
    <w:rsid w:val="004A5A43"/>
    <w:rPr>
      <w:i/>
      <w:iCs/>
      <w:color w:val="404040" w:themeColor="text1" w:themeTint="BF"/>
    </w:rPr>
  </w:style>
  <w:style w:type="paragraph" w:styleId="Prrafodelista">
    <w:name w:val="List Paragraph"/>
    <w:uiPriority w:val="34"/>
    <w:qFormat/>
    <w:rsid w:val="004A5A43"/>
    <w:pPr>
      <w:ind w:left="720"/>
      <w:contextualSpacing/>
    </w:pPr>
  </w:style>
  <w:style w:type="character" w:styleId="nfasisintenso">
    <w:name w:val="Intense Emphasis"/>
    <w:basedOn w:val="Fuentedeprrafopredeter"/>
    <w:uiPriority w:val="21"/>
    <w:qFormat/>
    <w:rsid w:val="004A5A43"/>
    <w:rPr>
      <w:i/>
      <w:iCs/>
      <w:color w:val="2F5496" w:themeColor="accent1" w:themeShade="BF"/>
    </w:rPr>
  </w:style>
  <w:style w:type="paragraph" w:styleId="Citadestacada">
    <w:name w:val="Intense Quote"/>
    <w:link w:val="CitadestacadaCar"/>
    <w:uiPriority w:val="30"/>
    <w:qFormat/>
    <w:rsid w:val="004A5A4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4A5A43"/>
    <w:rPr>
      <w:i/>
      <w:iCs/>
      <w:color w:val="2F5496" w:themeColor="accent1" w:themeShade="BF"/>
    </w:rPr>
  </w:style>
  <w:style w:type="character" w:styleId="Referenciaintensa">
    <w:name w:val="Intense Reference"/>
    <w:basedOn w:val="Fuentedeprrafopredeter"/>
    <w:uiPriority w:val="32"/>
    <w:qFormat/>
    <w:rsid w:val="004A5A43"/>
    <w:rPr>
      <w:b/>
      <w:bCs/>
      <w:smallCaps/>
      <w:color w:val="2F5496" w:themeColor="accent1" w:themeShade="BF"/>
      <w:spacing w:val="5"/>
    </w:rPr>
  </w:style>
  <w:style w:type="paragraph" w:styleId="Encabezado">
    <w:name w:val="header"/>
    <w:link w:val="EncabezadoCar"/>
    <w:uiPriority w:val="99"/>
    <w:unhideWhenUsed/>
    <w:rsid w:val="005321B3"/>
    <w:pPr>
      <w:tabs>
        <w:tab w:val="center" w:pos="4819"/>
        <w:tab w:val="right" w:pos="9638"/>
      </w:tabs>
      <w:spacing w:after="0" w:line="240" w:lineRule="auto"/>
    </w:pPr>
  </w:style>
  <w:style w:type="character" w:customStyle="1" w:styleId="EncabezadoCar">
    <w:name w:val="Encabezado Car"/>
    <w:basedOn w:val="Fuentedeprrafopredeter"/>
    <w:link w:val="Encabezado"/>
    <w:uiPriority w:val="99"/>
    <w:rsid w:val="005321B3"/>
  </w:style>
  <w:style w:type="paragraph" w:styleId="Piedepgina">
    <w:name w:val="footer"/>
    <w:link w:val="PiedepginaCar"/>
    <w:uiPriority w:val="99"/>
    <w:unhideWhenUsed/>
    <w:rsid w:val="005321B3"/>
    <w:pPr>
      <w:tabs>
        <w:tab w:val="center" w:pos="4819"/>
        <w:tab w:val="right" w:pos="9638"/>
      </w:tabs>
      <w:spacing w:after="0" w:line="240" w:lineRule="auto"/>
    </w:pPr>
  </w:style>
  <w:style w:type="character" w:customStyle="1" w:styleId="PiedepginaCar">
    <w:name w:val="Pie de página Car"/>
    <w:basedOn w:val="Fuentedeprrafopredeter"/>
    <w:link w:val="Piedepgina"/>
    <w:uiPriority w:val="99"/>
    <w:rsid w:val="005321B3"/>
  </w:style>
  <w:style w:type="character" w:styleId="Hipervnculo">
    <w:name w:val="Hyperlink"/>
    <w:basedOn w:val="Fuentedeprrafopredeter"/>
    <w:uiPriority w:val="99"/>
    <w:unhideWhenUsed/>
    <w:rsid w:val="005321B3"/>
    <w:rPr>
      <w:color w:val="0563C1" w:themeColor="hyperlink"/>
      <w:u w:val="single"/>
    </w:rPr>
  </w:style>
  <w:style w:type="character" w:styleId="Mencinsinresolver">
    <w:name w:val="Unresolved Mention"/>
    <w:basedOn w:val="Fuentedeprrafopredeter"/>
    <w:uiPriority w:val="99"/>
    <w:semiHidden/>
    <w:unhideWhenUsed/>
    <w:rsid w:val="005321B3"/>
    <w:rPr>
      <w:color w:val="605E5C"/>
      <w:shd w:val="clear" w:color="auto" w:fill="E1DFDD"/>
    </w:rPr>
  </w:style>
  <w:style w:type="paragraph" w:styleId="Revisin">
    <w:name w:val="Revision"/>
    <w:hidden/>
    <w:uiPriority w:val="99"/>
    <w:semiHidden/>
    <w:rsid w:val="002F5915"/>
    <w:pPr>
      <w:spacing w:after="0" w:line="240" w:lineRule="auto"/>
    </w:pPr>
  </w:style>
  <w:style w:type="character" w:styleId="Refdecomentario">
    <w:name w:val="annotation reference"/>
    <w:basedOn w:val="Fuentedeprrafopredeter"/>
    <w:uiPriority w:val="99"/>
    <w:semiHidden/>
    <w:unhideWhenUsed/>
    <w:rsid w:val="00CC7F23"/>
    <w:rPr>
      <w:sz w:val="16"/>
      <w:szCs w:val="16"/>
    </w:rPr>
  </w:style>
  <w:style w:type="paragraph" w:styleId="Textocomentario">
    <w:name w:val="annotation text"/>
    <w:link w:val="TextocomentarioCar"/>
    <w:uiPriority w:val="99"/>
    <w:unhideWhenUsed/>
    <w:rsid w:val="00CC7F23"/>
    <w:pPr>
      <w:spacing w:line="240" w:lineRule="auto"/>
    </w:pPr>
    <w:rPr>
      <w:sz w:val="20"/>
      <w:szCs w:val="20"/>
    </w:rPr>
  </w:style>
  <w:style w:type="character" w:customStyle="1" w:styleId="TextocomentarioCar">
    <w:name w:val="Texto comentario Car"/>
    <w:basedOn w:val="Fuentedeprrafopredeter"/>
    <w:link w:val="Textocomentario"/>
    <w:uiPriority w:val="99"/>
    <w:rsid w:val="00CC7F23"/>
    <w:rPr>
      <w:sz w:val="20"/>
      <w:szCs w:val="20"/>
    </w:rPr>
  </w:style>
  <w:style w:type="paragraph" w:styleId="Asuntodelcomentario">
    <w:name w:val="annotation subject"/>
    <w:basedOn w:val="Textocomentario"/>
    <w:next w:val="Textocomentario"/>
    <w:link w:val="AsuntodelcomentarioCar"/>
    <w:uiPriority w:val="99"/>
    <w:semiHidden/>
    <w:unhideWhenUsed/>
    <w:rsid w:val="00CC7F23"/>
    <w:rPr>
      <w:b/>
      <w:bCs/>
    </w:rPr>
  </w:style>
  <w:style w:type="character" w:customStyle="1" w:styleId="AsuntodelcomentarioCar">
    <w:name w:val="Asunto del comentario Car"/>
    <w:basedOn w:val="TextocomentarioCar"/>
    <w:link w:val="Asuntodelcomentario"/>
    <w:uiPriority w:val="99"/>
    <w:semiHidden/>
    <w:rsid w:val="00CC7F23"/>
    <w:rPr>
      <w:b/>
      <w:bCs/>
      <w:sz w:val="20"/>
      <w:szCs w:val="20"/>
    </w:rPr>
  </w:style>
  <w:style w:type="table" w:styleId="Tabladelista5oscura">
    <w:name w:val="List Table 5 Dark"/>
    <w:basedOn w:val="Tablanormal"/>
    <w:uiPriority w:val="50"/>
    <w:rsid w:val="00036F58"/>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styleId="Descripcin">
    <w:name w:val="caption"/>
    <w:uiPriority w:val="35"/>
    <w:unhideWhenUsed/>
    <w:qFormat/>
    <w:rsid w:val="00036F58"/>
    <w:pPr>
      <w:spacing w:after="200" w:line="240" w:lineRule="auto"/>
    </w:pPr>
    <w:rPr>
      <w:i/>
      <w:iCs/>
      <w:color w:val="44546A" w:themeColor="text2"/>
      <w:sz w:val="18"/>
      <w:szCs w:val="18"/>
    </w:rPr>
  </w:style>
  <w:style w:type="paragraph" w:styleId="Subttulo">
    <w:name w:val="Subtitle"/>
    <w:basedOn w:val="Normal"/>
    <w:next w:val="Normal"/>
    <w:uiPriority w:val="11"/>
    <w:qFormat/>
    <w:rPr>
      <w:color w:val="595959"/>
      <w:sz w:val="28"/>
      <w:szCs w:val="2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pPr>
      <w:spacing w:after="0" w:line="240" w:lineRule="auto"/>
    </w:pPr>
    <w:rPr>
      <w:color w:val="FFFFFF"/>
    </w:rPr>
    <w:tblPr>
      <w:tblStyleRowBandSize w:val="1"/>
      <w:tblStyleColBandSize w:val="1"/>
      <w:tblCellMar>
        <w:top w:w="0" w:type="dxa"/>
        <w:left w:w="115" w:type="dxa"/>
        <w:bottom w:w="0" w:type="dxa"/>
        <w:right w:w="115" w:type="dxa"/>
      </w:tblCellMar>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i.org/10.1016/S1096-7516(00)00016-6"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er.educause.edu/articles/2008/11/asynchronous-and-synchronous-elearning" TargetMode="External"/><Relationship Id="rId4" Type="http://schemas.openxmlformats.org/officeDocument/2006/relationships/settings" Target="settings.xml"/><Relationship Id="rId9" Type="http://schemas.openxmlformats.org/officeDocument/2006/relationships/hyperlink" Target="https://er.educause.edu/articles/2020/3/the-difference-between-emergency-remote-teaching-and-online-learning"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hyperlink" Target="https://doi.org/10.5281/zenodo.18406475"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CzrNmpg1EhUZBeIzcbaWug5tcw==">CgMxLjA4AHIhMW16anBOUUEzclEzS1JIeWJJS25sZDltNjFrU1czOHlS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2747</Words>
  <Characters>15114</Characters>
  <Application>Microsoft Office Word</Application>
  <DocSecurity>0</DocSecurity>
  <Lines>125</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Marco Montanari</dc:creator>
  <cp:lastModifiedBy>Fernando Martínez de Carnero Calzada</cp:lastModifiedBy>
  <cp:revision>2</cp:revision>
  <dcterms:created xsi:type="dcterms:W3CDTF">2025-12-21T12:49:00Z</dcterms:created>
  <dcterms:modified xsi:type="dcterms:W3CDTF">2026-01-28T19:35:00Z</dcterms:modified>
</cp:coreProperties>
</file>